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6B368C01" w:rsidR="003F31A4" w:rsidRPr="000977DA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Visiting </w:t>
      </w:r>
      <w:r w:rsidR="00195630" w:rsidRPr="000977DA">
        <w:rPr>
          <w:rFonts w:ascii="Verdana" w:eastAsiaTheme="minorHAnsi" w:hAnsi="Verdana" w:cs="TTdcr10"/>
          <w:sz w:val="21"/>
          <w:szCs w:val="21"/>
        </w:rPr>
        <w:t>Professor</w:t>
      </w:r>
    </w:p>
    <w:p w14:paraId="33E3C3BC" w14:textId="241F0A54" w:rsidR="00294EA3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Harvard Kennedy School</w:t>
      </w:r>
    </w:p>
    <w:p w14:paraId="281F358A" w14:textId="77777777" w:rsidR="0044104F" w:rsidRPr="000977DA" w:rsidRDefault="0044104F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3C9B2F2A" w14:textId="0EE9E083" w:rsidR="00266765" w:rsidRPr="000977DA" w:rsidRDefault="00266765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E-mail: pierre.alex.balland@gmail.com</w:t>
      </w:r>
    </w:p>
    <w:p w14:paraId="73526F47" w14:textId="14AD0D2E" w:rsidR="00FA2E08" w:rsidRPr="000977DA" w:rsidRDefault="00294EA3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424B69EA" w14:textId="79EE579A" w:rsidR="00643EC1" w:rsidRPr="00005CF6" w:rsidRDefault="00643EC1" w:rsidP="00643EC1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2021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Harvard Kennedy School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49C5BF5F" w14:textId="2B2B1110" w:rsidR="00643EC1" w:rsidRPr="00643EC1" w:rsidRDefault="00643EC1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5DBFFAB9" w14:textId="113320CF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2021 – </w:t>
      </w:r>
      <w:r w:rsidR="00643EC1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028B92C6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2020 – </w:t>
      </w:r>
      <w:r w:rsidR="00643EC1">
        <w:rPr>
          <w:rFonts w:ascii="Verdana" w:eastAsia="Times New Roman" w:hAnsi="Verdana" w:cs="Times New Roman"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46697458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>Data Science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PILLARS – Pathways to Inclusive </w:t>
      </w:r>
      <w:proofErr w:type="spellStart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</w:t>
      </w:r>
      <w:proofErr w:type="spellStart"/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BF34FA" w14:textId="25A4324A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Stavanger, 2023 (upcoming)</w:t>
      </w:r>
    </w:p>
    <w:p w14:paraId="0018073F" w14:textId="1483E610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(upcoming)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scientific capabilities in specific domains matter for technological diversification in European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Diodato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Giuliani, E., Hausmann,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EU regions benefit from Smart Specialization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Complementary Inter-Regional Linkages and Smart Specialization: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</w:t>
      </w:r>
      <w:proofErr w:type="gram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24.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Resmini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Global networks, local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Delgado, M., Feldman, M.,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D., Morrison, A.</w:t>
      </w:r>
      <w:proofErr w:type="gram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Neffke</w:t>
      </w:r>
      <w:proofErr w:type="spellEnd"/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Les fondements micro du changement structurel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régional:</w:t>
      </w:r>
      <w:proofErr w:type="gramEnd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How Smart is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? An Analysis of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The Dynamics of Technical and Business Knowledge Networks in Industrial Clusters: Embeddedness, status or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7.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Bachtrögler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-Unger, J., Balland, P.A.,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Aridi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What do we need from the next Framework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Ruimtelijk Economische Analyse </w:t>
      </w:r>
      <w:proofErr w:type="gramStart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van  het</w:t>
      </w:r>
      <w:proofErr w:type="gramEnd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lastRenderedPageBreak/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Dynamic Network Analysis of the EU R&amp;I Framework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Programme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processus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proofErr w:type="gram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Mathieu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Steijn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The Evolving Geography of Jobs: How Relatedness Shapes </w:t>
      </w:r>
      <w:proofErr w:type="spellStart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Sergio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Lars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Mewes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Juhász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</w:t>
      </w:r>
      <w:proofErr w:type="spellEnd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Scientometrics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5F5515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B1D2" w14:textId="77777777" w:rsidR="005F5515" w:rsidRDefault="005F5515" w:rsidP="001C5E98">
      <w:pPr>
        <w:spacing w:after="0" w:line="240" w:lineRule="auto"/>
      </w:pPr>
      <w:r>
        <w:separator/>
      </w:r>
    </w:p>
  </w:endnote>
  <w:endnote w:type="continuationSeparator" w:id="0">
    <w:p w14:paraId="6667C804" w14:textId="77777777" w:rsidR="005F5515" w:rsidRDefault="005F5515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EE278" w14:textId="77777777" w:rsidR="005F5515" w:rsidRDefault="005F5515" w:rsidP="001C5E98">
      <w:pPr>
        <w:spacing w:after="0" w:line="240" w:lineRule="auto"/>
      </w:pPr>
      <w:r>
        <w:separator/>
      </w:r>
    </w:p>
  </w:footnote>
  <w:footnote w:type="continuationSeparator" w:id="0">
    <w:p w14:paraId="036CD1EC" w14:textId="77777777" w:rsidR="005F5515" w:rsidRDefault="005F5515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7418"/>
    <w:rsid w:val="00C150C4"/>
    <w:rsid w:val="00C2509E"/>
    <w:rsid w:val="00C250B2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18B"/>
    <w:rsid w:val="00EE68BF"/>
    <w:rsid w:val="00EF4969"/>
    <w:rsid w:val="00EF6C41"/>
    <w:rsid w:val="00F03EB5"/>
    <w:rsid w:val="00F05219"/>
    <w:rsid w:val="00F06448"/>
    <w:rsid w:val="00F136ED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3815</Words>
  <Characters>22358</Characters>
  <Application>Microsoft Office Word</Application>
  <DocSecurity>0</DocSecurity>
  <Lines>475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170</cp:revision>
  <cp:lastPrinted>2016-09-19T17:19:00Z</cp:lastPrinted>
  <dcterms:created xsi:type="dcterms:W3CDTF">2021-08-27T16:27:00Z</dcterms:created>
  <dcterms:modified xsi:type="dcterms:W3CDTF">2024-05-07T07:57:00Z</dcterms:modified>
</cp:coreProperties>
</file>