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77777777" w:rsidR="00004703" w:rsidRPr="00EC488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</w:rPr>
      </w:pPr>
      <w:r w:rsidRPr="00EC488F">
        <w:rPr>
          <w:rFonts w:ascii="Verdana" w:eastAsiaTheme="minorHAnsi" w:hAnsi="Verdana" w:cs="TTdcr10"/>
          <w:b/>
          <w:sz w:val="19"/>
          <w:szCs w:val="19"/>
        </w:rPr>
        <w:t>Dr. Pierre-Alexandre Balland</w:t>
      </w:r>
    </w:p>
    <w:p w14:paraId="3A929E18" w14:textId="77777777" w:rsidR="00004703" w:rsidRPr="00EC488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</w:rPr>
      </w:pPr>
    </w:p>
    <w:p w14:paraId="25C7D8DC" w14:textId="4096EA43" w:rsidR="00597CF1" w:rsidRPr="006D4486" w:rsidRDefault="00C910D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</w:rPr>
      </w:pPr>
      <w:r w:rsidRPr="006D4486">
        <w:rPr>
          <w:rFonts w:ascii="Verdana" w:eastAsiaTheme="minorHAnsi" w:hAnsi="Verdana" w:cs="TTdcr10"/>
          <w:sz w:val="19"/>
          <w:szCs w:val="19"/>
        </w:rPr>
        <w:t>Associate</w:t>
      </w:r>
      <w:r w:rsidR="00004703" w:rsidRPr="006D4486">
        <w:rPr>
          <w:rFonts w:ascii="Verdana" w:eastAsiaTheme="minorHAnsi" w:hAnsi="Verdana" w:cs="TTdcr10"/>
          <w:sz w:val="19"/>
          <w:szCs w:val="19"/>
        </w:rPr>
        <w:t xml:space="preserve"> Professor</w:t>
      </w:r>
      <w:r w:rsidR="00195630" w:rsidRPr="006D4486">
        <w:rPr>
          <w:rFonts w:ascii="Verdana" w:eastAsiaTheme="minorHAnsi" w:hAnsi="Verdana" w:cs="TTdcr10"/>
          <w:sz w:val="19"/>
          <w:szCs w:val="19"/>
        </w:rPr>
        <w:t xml:space="preserve"> - </w:t>
      </w:r>
      <w:r w:rsidR="00195630" w:rsidRPr="006D4486">
        <w:rPr>
          <w:rFonts w:ascii="Verdana" w:eastAsiaTheme="minorHAnsi" w:hAnsi="Verdana" w:cs="TTdcr10"/>
          <w:sz w:val="19"/>
          <w:szCs w:val="19"/>
        </w:rPr>
        <w:t xml:space="preserve">Utrecht University   </w:t>
      </w:r>
      <w:r w:rsidR="00030E78" w:rsidRPr="006D4486">
        <w:rPr>
          <w:rFonts w:ascii="Verdana" w:eastAsiaTheme="minorHAnsi" w:hAnsi="Verdana" w:cs="TTdcr10"/>
          <w:sz w:val="19"/>
          <w:szCs w:val="19"/>
        </w:rPr>
        <w:tab/>
      </w:r>
      <w:r w:rsidR="00030E78" w:rsidRPr="006D4486">
        <w:rPr>
          <w:rFonts w:ascii="Verdana" w:eastAsiaTheme="minorHAnsi" w:hAnsi="Verdana" w:cs="TTdcr10"/>
          <w:sz w:val="19"/>
          <w:szCs w:val="19"/>
        </w:rPr>
        <w:tab/>
      </w:r>
      <w:r w:rsidR="00245505" w:rsidRPr="006D4486">
        <w:rPr>
          <w:rFonts w:ascii="Verdana" w:eastAsiaTheme="minorHAnsi" w:hAnsi="Verdana" w:cs="TTdcr10"/>
          <w:sz w:val="19"/>
          <w:szCs w:val="19"/>
        </w:rPr>
        <w:t xml:space="preserve">  </w:t>
      </w:r>
      <w:r w:rsidR="00245505" w:rsidRPr="006D4486">
        <w:rPr>
          <w:rFonts w:ascii="Verdana" w:eastAsiaTheme="minorHAnsi" w:hAnsi="Verdana" w:cs="TTdcr10"/>
          <w:sz w:val="19"/>
          <w:szCs w:val="19"/>
        </w:rPr>
        <w:tab/>
      </w:r>
      <w:r w:rsidR="00195630" w:rsidRPr="006D4486">
        <w:rPr>
          <w:rFonts w:ascii="Verdana" w:eastAsiaTheme="minorHAnsi" w:hAnsi="Verdana" w:cs="TTdcr10"/>
          <w:sz w:val="19"/>
          <w:szCs w:val="19"/>
        </w:rPr>
        <w:tab/>
      </w:r>
      <w:r w:rsidR="00030E78" w:rsidRPr="006D4486">
        <w:rPr>
          <w:rFonts w:ascii="Verdana" w:eastAsiaTheme="minorHAnsi" w:hAnsi="Verdana" w:cs="TTdcr10"/>
          <w:sz w:val="19"/>
          <w:szCs w:val="19"/>
        </w:rPr>
        <w:t xml:space="preserve">E-mail: </w:t>
      </w:r>
      <w:hyperlink r:id="rId7" w:history="1">
        <w:r w:rsidR="00245505" w:rsidRPr="006D4486">
          <w:rPr>
            <w:rStyle w:val="Hyperlink"/>
            <w:rFonts w:ascii="Verdana" w:eastAsiaTheme="minorHAnsi" w:hAnsi="Verdana" w:cs="TTdcr10"/>
            <w:sz w:val="19"/>
            <w:szCs w:val="19"/>
          </w:rPr>
          <w:t>p.balland@uu.nl</w:t>
        </w:r>
      </w:hyperlink>
    </w:p>
    <w:p w14:paraId="634B8851" w14:textId="77777777" w:rsidR="00862648" w:rsidRDefault="00195630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</w:rPr>
      </w:pPr>
      <w:r w:rsidRPr="006D4486">
        <w:rPr>
          <w:rFonts w:ascii="Verdana" w:eastAsiaTheme="minorHAnsi" w:hAnsi="Verdana" w:cs="TTdcr10"/>
          <w:sz w:val="19"/>
          <w:szCs w:val="19"/>
        </w:rPr>
        <w:t xml:space="preserve">Visiting Professor </w:t>
      </w:r>
      <w:r w:rsidR="006B61F5" w:rsidRPr="006D4486">
        <w:rPr>
          <w:rFonts w:ascii="Verdana" w:eastAsiaTheme="minorHAnsi" w:hAnsi="Verdana" w:cs="TTdcr10"/>
          <w:sz w:val="19"/>
          <w:szCs w:val="19"/>
        </w:rPr>
        <w:t>–</w:t>
      </w:r>
      <w:r w:rsidRPr="006D4486">
        <w:rPr>
          <w:rFonts w:ascii="Verdana" w:eastAsiaTheme="minorHAnsi" w:hAnsi="Verdana" w:cs="TTdcr10"/>
          <w:sz w:val="19"/>
          <w:szCs w:val="19"/>
        </w:rPr>
        <w:t xml:space="preserve"> </w:t>
      </w:r>
      <w:r w:rsidR="006B61F5" w:rsidRPr="006D4486">
        <w:rPr>
          <w:rFonts w:ascii="Verdana" w:eastAsiaTheme="minorHAnsi" w:hAnsi="Verdana" w:cs="TTdcr10"/>
          <w:sz w:val="19"/>
          <w:szCs w:val="19"/>
        </w:rPr>
        <w:t>AI Toulouse Institute</w:t>
      </w:r>
      <w:r w:rsidRPr="006D4486">
        <w:rPr>
          <w:rFonts w:ascii="Verdana" w:eastAsiaTheme="minorHAnsi" w:hAnsi="Verdana" w:cs="TTdcr10"/>
          <w:sz w:val="19"/>
          <w:szCs w:val="19"/>
        </w:rPr>
        <w:tab/>
      </w:r>
      <w:r w:rsidRPr="006D4486">
        <w:rPr>
          <w:rFonts w:ascii="Verdana" w:eastAsiaTheme="minorHAnsi" w:hAnsi="Verdana" w:cs="TTdcr10"/>
          <w:sz w:val="19"/>
          <w:szCs w:val="19"/>
        </w:rPr>
        <w:tab/>
      </w:r>
      <w:r w:rsidRPr="006D4486">
        <w:rPr>
          <w:rFonts w:ascii="Verdana" w:eastAsiaTheme="minorHAnsi" w:hAnsi="Verdana" w:cs="TTdcr10"/>
          <w:sz w:val="19"/>
          <w:szCs w:val="19"/>
        </w:rPr>
        <w:tab/>
      </w:r>
      <w:r w:rsidRPr="006D4486">
        <w:rPr>
          <w:rFonts w:ascii="Verdana" w:eastAsiaTheme="minorHAnsi" w:hAnsi="Verdana" w:cs="TTdcr10"/>
          <w:sz w:val="19"/>
          <w:szCs w:val="19"/>
        </w:rPr>
        <w:tab/>
      </w:r>
      <w:r w:rsidR="006B61F5" w:rsidRPr="006D4486">
        <w:rPr>
          <w:rFonts w:ascii="Verdana" w:eastAsiaTheme="minorHAnsi" w:hAnsi="Verdana" w:cs="TTdcr10"/>
          <w:sz w:val="19"/>
          <w:szCs w:val="19"/>
        </w:rPr>
        <w:t>Phone: +</w:t>
      </w:r>
      <w:r w:rsidR="006B61F5" w:rsidRPr="006D4486">
        <w:rPr>
          <w:rFonts w:ascii="Verdana" w:eastAsiaTheme="minorHAnsi" w:hAnsi="Verdana" w:cs="TTdcr10"/>
          <w:sz w:val="19"/>
          <w:szCs w:val="19"/>
        </w:rPr>
        <w:t xml:space="preserve">33 609 48 68 50 </w:t>
      </w:r>
    </w:p>
    <w:p w14:paraId="73526F47" w14:textId="157C7970" w:rsidR="00FA2E08" w:rsidRPr="006D4486" w:rsidRDefault="00AD67F4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</w:rPr>
      </w:pPr>
      <w:r w:rsidRPr="006D4486">
        <w:rPr>
          <w:rFonts w:ascii="Verdana" w:eastAsiaTheme="minorHAnsi" w:hAnsi="Verdana" w:cs="TTdcr10"/>
          <w:sz w:val="19"/>
          <w:szCs w:val="19"/>
        </w:rPr>
        <w:t>Princetonlaan 8a</w:t>
      </w:r>
      <w:r w:rsidR="00004703" w:rsidRPr="006D4486">
        <w:rPr>
          <w:rFonts w:ascii="Verdana" w:eastAsiaTheme="minorHAnsi" w:hAnsi="Verdana" w:cs="TTdcr10"/>
          <w:sz w:val="19"/>
          <w:szCs w:val="19"/>
        </w:rPr>
        <w:t>, 358</w:t>
      </w:r>
      <w:r w:rsidRPr="006D4486">
        <w:rPr>
          <w:rFonts w:ascii="Verdana" w:eastAsiaTheme="minorHAnsi" w:hAnsi="Verdana" w:cs="TTdcr10"/>
          <w:sz w:val="19"/>
          <w:szCs w:val="19"/>
        </w:rPr>
        <w:t>4CB</w:t>
      </w:r>
      <w:r w:rsidR="00004703" w:rsidRPr="006D4486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6D4486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030E78" w:rsidRPr="006D4486">
        <w:rPr>
          <w:rFonts w:ascii="Verdana" w:hAnsi="Verdana" w:cs="TTdcr10"/>
          <w:sz w:val="19"/>
          <w:szCs w:val="19"/>
        </w:rPr>
        <w:t xml:space="preserve">Webpage: </w:t>
      </w:r>
      <w:hyperlink r:id="rId8" w:history="1">
        <w:r w:rsidR="006B61F5" w:rsidRPr="006D4486">
          <w:rPr>
            <w:rStyle w:val="Hyperlink"/>
            <w:rFonts w:ascii="Verdana" w:hAnsi="Verdana" w:cs="TTdcr10"/>
            <w:sz w:val="19"/>
            <w:szCs w:val="19"/>
          </w:rPr>
          <w:t>www.paballand.com</w:t>
        </w:r>
      </w:hyperlink>
      <w:r w:rsidR="006B61F5" w:rsidRPr="006D4486">
        <w:rPr>
          <w:rFonts w:ascii="Verdana" w:hAnsi="Verdana" w:cs="TTdcr10"/>
          <w:sz w:val="19"/>
          <w:szCs w:val="19"/>
        </w:rPr>
        <w:t xml:space="preserve"> </w:t>
      </w:r>
      <w:r w:rsidR="00030E78" w:rsidRPr="006D4486">
        <w:rPr>
          <w:rFonts w:ascii="Verdana" w:hAnsi="Verdana" w:cs="TTdcr10"/>
          <w:sz w:val="19"/>
          <w:szCs w:val="19"/>
        </w:rPr>
        <w:t xml:space="preserve">  </w:t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eastAsiaTheme="minorHAnsi" w:hAnsi="Verdana" w:cs="TTdcr10"/>
          <w:sz w:val="19"/>
          <w:szCs w:val="19"/>
        </w:rPr>
        <w:tab/>
      </w:r>
      <w:r w:rsidR="00EE618B" w:rsidRPr="006D4486">
        <w:rPr>
          <w:rFonts w:ascii="Verdana" w:hAnsi="Verdana" w:cs="TTdcr10"/>
          <w:sz w:val="19"/>
          <w:szCs w:val="19"/>
        </w:rPr>
        <w:tab/>
      </w:r>
      <w:r w:rsidR="00C150C4" w:rsidRPr="006D4486">
        <w:rPr>
          <w:rFonts w:ascii="Verdana" w:hAnsi="Verdana" w:cs="TTdcr10"/>
          <w:sz w:val="19"/>
          <w:szCs w:val="19"/>
        </w:rPr>
        <w:t xml:space="preserve"> </w:t>
      </w:r>
    </w:p>
    <w:p w14:paraId="3C83E1CB" w14:textId="77777777"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9"/>
          <w:footerReference w:type="default" r:id="rId10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2235AF08" w14:textId="77777777"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00889D34" w14:textId="77777777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71A979F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391D4B" w:rsidRPr="00391D4B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Artificial and Natural Intelligence Toulouse Institute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0E1F2F8F" w:rsidR="00526EF0" w:rsidRPr="00391D4B" w:rsidRDefault="00526EF0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 w:rsidRPr="00391D4B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            </w:t>
      </w:r>
      <w:r w:rsidR="00391D4B"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39448F7E" w:rsidR="00840919" w:rsidRPr="00E56460" w:rsidRDefault="00840919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>202</w:t>
      </w:r>
      <w:r w:rsidR="00E31430">
        <w:rPr>
          <w:rFonts w:ascii="Verdana" w:eastAsia="Times New Roman" w:hAnsi="Verdana" w:cs="Times New Roman"/>
          <w:sz w:val="19"/>
          <w:szCs w:val="19"/>
          <w:lang w:eastAsia="fr-FR"/>
        </w:rPr>
        <w:t>0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       </w:t>
      </w:r>
      <w:r w:rsidR="00391D4B" w:rsidRPr="00E56460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Utrecht University</w:t>
      </w:r>
      <w:r w:rsidR="00391D4B"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7259708" w14:textId="36BA6359" w:rsidR="00840919" w:rsidRDefault="00840919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  <w:t xml:space="preserve">            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735E7868" w:rsidR="0087646B" w:rsidRDefault="0087646B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DG</w:t>
      </w:r>
      <w:r w:rsidRPr="0087646B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for Research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&amp;</w:t>
      </w:r>
      <w:r w:rsidRPr="0087646B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Innovation</w:t>
      </w:r>
      <w:r w:rsidR="0004441F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- </w:t>
      </w:r>
      <w:r w:rsidRPr="0087646B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European Commission</w:t>
      </w:r>
    </w:p>
    <w:p w14:paraId="0C819C88" w14:textId="35183992" w:rsidR="0087646B" w:rsidRDefault="0087646B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  <w:t xml:space="preserve">             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>ESIR Expert Group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364B6A61" w14:textId="3F671E4F" w:rsidR="0004441F" w:rsidRDefault="0004441F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Media Lab - </w:t>
      </w:r>
      <w:r w:rsidR="009C571D" w:rsidRPr="009C571D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Massachusetts Institute of Technology</w:t>
      </w:r>
    </w:p>
    <w:p w14:paraId="063CD57F" w14:textId="7F290754" w:rsidR="0004441F" w:rsidRDefault="0004441F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  <w:t xml:space="preserve">             </w:t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1696DDC3" w:rsidR="00892398" w:rsidRPr="00005CF6" w:rsidRDefault="00892398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             </w:t>
      </w:r>
      <w:r w:rsidRPr="00892398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University of California, Los Angeles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1021724A" w14:textId="34C62F9F" w:rsidR="00892398" w:rsidRPr="00005CF6" w:rsidRDefault="00892398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Visiting Professor</w:t>
      </w:r>
    </w:p>
    <w:p w14:paraId="71949B6F" w14:textId="28DEB5EC" w:rsidR="00444A72" w:rsidRPr="00E56460" w:rsidRDefault="00444A72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14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2020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       </w:t>
      </w:r>
      <w:r w:rsidRPr="00E56460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Utrecht University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6D1BF3B2" w14:textId="1EE6DA92" w:rsidR="00444A72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  <w:t xml:space="preserve">             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00100382" w:rsidR="00444A72" w:rsidRPr="00005CF6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2014 - 2016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444A72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Lund University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F7FDE3A" w14:textId="420A41F1" w:rsidR="00444A72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Research Associate 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</w:t>
      </w:r>
    </w:p>
    <w:p w14:paraId="2D965B1C" w14:textId="18BA1534" w:rsidR="00444A72" w:rsidRPr="00E56460" w:rsidRDefault="00444A72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14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       </w:t>
      </w:r>
      <w:r w:rsidRPr="00E56460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Utrecht University</w:t>
      </w:r>
      <w:r w:rsidRPr="00E5646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1E90A1A8" w14:textId="58BA2132" w:rsidR="00444A72" w:rsidRPr="00444A72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P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  <w:t xml:space="preserve">             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755A82B1" w14:textId="4B3990AE" w:rsidR="00444A72" w:rsidRPr="00005CF6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7C75AE" w:rsidRPr="007C75AE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Eindhoven University of Technology</w:t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C54C05B" w14:textId="7A703CD2" w:rsidR="00444A72" w:rsidRPr="00005CF6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46CEB7EF" w:rsidR="00444A72" w:rsidRPr="007C75AE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7C75AE" w:rsidRPr="007C75AE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University of Toulouse</w:t>
      </w:r>
      <w:r w:rsidR="007C75AE" w:rsidRPr="007C75AE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</w:p>
    <w:p w14:paraId="7F33FB3F" w14:textId="697AB1D2" w:rsidR="00444A72" w:rsidRPr="00005CF6" w:rsidRDefault="00444A72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14:paraId="1B620425" w14:textId="77777777"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14:paraId="1A45B6F7" w14:textId="77777777"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14:paraId="7F88EC0E" w14:textId="77777777"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E0CE37F" w14:textId="7B8D8D06" w:rsidR="00870725" w:rsidRPr="00870725" w:rsidRDefault="0087072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2024 - 2027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870725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Twin Transition in Europe, </w:t>
      </w:r>
      <w:r w:rsidRPr="0087072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</w:t>
      </w:r>
    </w:p>
    <w:p w14:paraId="5F083B59" w14:textId="62FBB99F"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870725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Marie Skłodowska-Curie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14:paraId="59D9B38D" w14:textId="77777777"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0FCA097C" w14:textId="77777777"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54DA84AE" w14:textId="77777777"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5E20EE9C" w14:textId="77777777"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14:paraId="306EC9FD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14:paraId="2547B74B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B4F7D8E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14:paraId="43908B19" w14:textId="77777777"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1B35281C" w14:textId="77777777"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14:paraId="61506E78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14:paraId="65AAE98D" w14:textId="77777777"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14:paraId="68CEBF01" w14:textId="77777777"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E828212" w14:textId="77777777"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4FC4DE48" w14:textId="77777777"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4E903FA8" w14:textId="1AA3853D"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82C35">
        <w:rPr>
          <w:rFonts w:ascii="Verdana" w:eastAsia="Times New Roman" w:hAnsi="Verdana" w:cs="Times New Roman"/>
          <w:sz w:val="19"/>
          <w:szCs w:val="19"/>
          <w:lang w:eastAsia="fr-FR"/>
        </w:rPr>
        <w:t>Economic Complexity</w:t>
      </w:r>
      <w:r w:rsidR="00E362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</w:t>
      </w:r>
      <w:r w:rsidR="00B82C3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Applied Artificial Intelligence</w:t>
      </w:r>
    </w:p>
    <w:p w14:paraId="0EE6DF29" w14:textId="099AF474"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362DA">
        <w:rPr>
          <w:rFonts w:ascii="Verdana" w:eastAsia="Times New Roman" w:hAnsi="Verdana" w:cs="Times New Roman"/>
          <w:sz w:val="19"/>
          <w:szCs w:val="19"/>
          <w:lang w:eastAsia="fr-FR"/>
        </w:rPr>
        <w:t>Future of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Economics of Blockchain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77777777" w:rsidR="00E40429" w:rsidRPr="00EC488F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  <w:lang w:val="es-ES"/>
        </w:rPr>
      </w:pPr>
      <w:r w:rsidRPr="00EC488F">
        <w:rPr>
          <w:rFonts w:ascii="Verdana" w:hAnsi="Verdana" w:cs="Times New Roman"/>
          <w:b/>
          <w:sz w:val="19"/>
          <w:szCs w:val="19"/>
          <w:lang w:val="es-ES"/>
        </w:rPr>
        <w:t xml:space="preserve">Keynotes </w:t>
      </w:r>
    </w:p>
    <w:p w14:paraId="669237F5" w14:textId="77777777" w:rsidR="00E40429" w:rsidRPr="00EC488F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</w:p>
    <w:p w14:paraId="6ABF34FA" w14:textId="67F7E011" w:rsidR="004F602E" w:rsidRPr="004F602E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F602E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KÅKÅ|nomics</w:t>
      </w:r>
      <w:r w:rsidRPr="004F602E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festival</w:t>
      </w:r>
      <w:r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of AI applications</w:t>
      </w:r>
      <w:r w:rsidRPr="004F602E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, Stavanger (Norway), 2023</w:t>
      </w:r>
      <w:r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(upcoming)</w:t>
      </w:r>
    </w:p>
    <w:p w14:paraId="0018073F" w14:textId="0089FF54" w:rsidR="004F602E" w:rsidRPr="004F602E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F602E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European AI conference, Vienna, 2023 (upco</w:t>
      </w:r>
      <w:r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ming) </w:t>
      </w:r>
    </w:p>
    <w:p w14:paraId="0C448D70" w14:textId="51EDA5F6" w:rsidR="004F602E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Economic Complexity Conference, Harvard Kennedy School, 2023</w:t>
      </w:r>
    </w:p>
    <w:p w14:paraId="063978BA" w14:textId="3C5C6A43" w:rsidR="009B1DD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AI &amp; the </w:t>
      </w:r>
      <w:r w:rsidR="009B1DD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Future of Wo</w:t>
      </w:r>
      <w:r w:rsidR="009B1DD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rk Workshop,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Cambridge MA, </w:t>
      </w:r>
      <w:r w:rsidRPr="009B1DD4">
        <w:rPr>
          <w:rFonts w:ascii="Verdana" w:eastAsia="Times New Roman" w:hAnsi="Verdana" w:cs="Times New Roman"/>
          <w:sz w:val="19"/>
          <w:szCs w:val="19"/>
          <w:lang w:eastAsia="fr-FR"/>
        </w:rPr>
        <w:t>MIT Media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9B1DD4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792E7488" w:rsidR="00343EDF" w:rsidRPr="009B1DD4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B1DD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Urban Economy Forum (UEF) – UN Habitat (Toronto, 2022) </w:t>
      </w:r>
    </w:p>
    <w:p w14:paraId="331BBDEF" w14:textId="681CE77B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F602E">
        <w:rPr>
          <w:rFonts w:ascii="Verdana" w:eastAsia="Times New Roman" w:hAnsi="Verdana" w:cs="Times New Roman"/>
          <w:sz w:val="19"/>
          <w:szCs w:val="19"/>
          <w:lang w:eastAsia="fr-FR"/>
        </w:rPr>
        <w:t>Week of innovative Regions in Europe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Paris-Saclay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Seminario de Complejidad Económica, Ciudad de Mexico, 2022</w:t>
      </w:r>
    </w:p>
    <w:p w14:paraId="1279A8FE" w14:textId="09832C92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and Innovation Days of the European Commission (Online,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2021,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3000 people)</w:t>
      </w:r>
    </w:p>
    <w:p w14:paraId="6054DCD5" w14:textId="2A9F21E5"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2A8B8F0" w14:textId="66ECF0FE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and Innovation Days of the European Commission (Brussels,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2019,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3000 people)</w:t>
      </w:r>
    </w:p>
    <w:p w14:paraId="0DCB95B3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14:paraId="563AA49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14:paraId="22C8B695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14:paraId="09112C6D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14:paraId="72E21136" w14:textId="77777777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14:paraId="65BB269F" w14:textId="77777777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14:paraId="57C5921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14:paraId="5181EDD2" w14:textId="77777777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14:paraId="008D61F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14:paraId="4AF4F27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14:paraId="32059020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(Castelló de la Plana, 2013 – 80 people)</w:t>
      </w:r>
    </w:p>
    <w:p w14:paraId="1A76EDF9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lastRenderedPageBreak/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>INGENIO, University of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>versity Sidi Mohamed Ben Abdellah (Fès,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Seminar - Universitat Jaume I de Castelló,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Innovation and Growth - University of Pécs,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Pécs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77777777"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0B0F3819" w14:textId="77777777"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1E7D951" w14:textId="77777777"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688E826" w14:textId="77777777"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0651B8A7" w14:textId="6E5B6955" w:rsidR="000E78F1" w:rsidRPr="000E78F1" w:rsidRDefault="009B35E9" w:rsidP="000E78F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0E78F1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0E78F1" w:rsidRPr="000E78F1">
        <w:rPr>
          <w:rFonts w:ascii="Verdana" w:eastAsia="Times New Roman" w:hAnsi="Verdana" w:cs="Times New Roman"/>
          <w:sz w:val="19"/>
          <w:szCs w:val="19"/>
          <w:lang w:eastAsia="fr-FR"/>
        </w:rPr>
        <w:t>Balland, P.A. &amp; Boschma, R. (2022) Do scientific capabilities in specific domains matter for technological diversification in European regions?, Research Policy, forthcoming.</w:t>
      </w:r>
    </w:p>
    <w:p w14:paraId="24C622B8" w14:textId="4D4DE6F0" w:rsidR="000E78F1" w:rsidRPr="000E78F1" w:rsidRDefault="000E78F1" w:rsidP="000E78F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34. </w:t>
      </w:r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Pinheiro, F., Balland, P.A., Boschma, R. &amp; Hartmann, D. (2022) The Dark Side of the Geography of Innovation. Relatedness, Complexity, and Regional Inequality in Europe, Regional Studies, forthcoming.</w:t>
      </w:r>
    </w:p>
    <w:p w14:paraId="590D0E0C" w14:textId="4039C2FB" w:rsidR="009B35E9" w:rsidRPr="00EC488F" w:rsidRDefault="000E78F1" w:rsidP="000E78F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C488F">
        <w:rPr>
          <w:rFonts w:ascii="Verdana" w:eastAsia="Times New Roman" w:hAnsi="Verdana" w:cs="Times New Roman"/>
          <w:sz w:val="19"/>
          <w:szCs w:val="19"/>
          <w:lang w:val="nl-NL" w:eastAsia="fr-FR"/>
        </w:rPr>
        <w:t>33. Boschma, R. &amp; Balland, P.A. (2022) Nieuwe methode brengt kansen op regionale vernieuwing in kaart, ESB, forthcoming.</w:t>
      </w:r>
    </w:p>
    <w:p w14:paraId="24F676A5" w14:textId="0A84198C" w:rsidR="000E78F1" w:rsidRPr="009B35E9" w:rsidRDefault="000E78F1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P.A., Broekel, T., Diodato, D., Giuliani, E., Hausmann, R., O’Clery, N. &amp; Rigby, D. (2022) The new paradigm of economic complexity, Research Policy, 51 (3): 1-11.</w:t>
      </w:r>
    </w:p>
    <w:p w14:paraId="1D41BAF6" w14:textId="36E4FBDD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Uhlbach, W., Balland, P.A. &amp; Scherngell, T. (2022) Public R&amp;D funding and new regional specialisations: The contingent role of technological relatedness, Industry and Innovation, forthcoming</w:t>
      </w:r>
    </w:p>
    <w:p w14:paraId="1C534BF4" w14:textId="4ED70E10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Dong, Z., Li, Y., Balland, P.A. &amp; Zheng, S. (2022) Industrial land policy and economic complexity of Chinese Cities, Industry and Innovation, 29 (3).</w:t>
      </w:r>
    </w:p>
    <w:p w14:paraId="7FA846FA" w14:textId="28F03606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Rigby, D., Roesler, C., Kogler, D., Boschma, R. &amp; Balland, P.A. (2022) Do EU regions benefit from Smart Specialization principles?, Regional Studies, forthcoming.</w:t>
      </w:r>
    </w:p>
    <w:p w14:paraId="2A612E5C" w14:textId="7C9F8DA2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P.A., and Boschma, R. (2021) Mapping the potentials of regions in Europe to contribute to new knowledge production in Industry 4.0 technologies, Regional Studies, forthcoming.</w:t>
      </w:r>
    </w:p>
    <w:p w14:paraId="478B1731" w14:textId="3FEB96C4" w:rsid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 and Boschma, R. (2021) Complementary Inter-Regional Linkages and Smart Specialization: an Empirical Study on European Regions, Regional Studies, 55 (6): 1059-1070.</w:t>
      </w:r>
    </w:p>
    <w:p w14:paraId="609E2048" w14:textId="3D6785F7" w:rsidR="009B35E9" w:rsidRDefault="0084091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Maghssudipour, A., Balland, P.A., and Giuliani, E. (2021) Cast apart by the elites: how status influences assortative matching in industrial clusters, </w:t>
      </w:r>
      <w:r w:rsidRPr="009B35E9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Industry &amp; Innovation</w:t>
      </w:r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>28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>):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836-859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A990230" w14:textId="2B6BC62B" w:rsidR="00840919" w:rsidRDefault="00840919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Balland, P.A., Jara-Figueroa, C., Petralia, S., Steijn, M., Rigby, D., and Hidalgo, C.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14:paraId="774CDEB6" w14:textId="3CA89D2E" w:rsidR="009E2811" w:rsidRPr="00840919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Ascani, A., Bettarelli, L., Resmini, L., and Balland, P. A. (2020) Global networks, local specialisation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14:paraId="5B08DDEF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. Ascani,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14:paraId="7E36F05D" w14:textId="77777777"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14:paraId="1CB0181F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Ravet,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14:paraId="2A9A2C50" w14:textId="77777777"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Ascani,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7A2C4BD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A627208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6DBD81FB" w14:textId="77777777"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Glaeser, E., He, C., Kogler,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A307BAA" w14:textId="77777777"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Crespo,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14:paraId="5104D770" w14:textId="77777777"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Petralia,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14:paraId="41C9C3BF" w14:textId="77777777"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14:paraId="74674AFA" w14:textId="77777777"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14:paraId="39B45BCC" w14:textId="77777777"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Heimeriks,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14:paraId="57326811" w14:textId="77777777"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Belso-Martinez,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14:paraId="43CF2E8A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14:paraId="7E394037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561873F" w14:textId="77777777"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98E7319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Kogler,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8E25FA0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Broekel,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14:paraId="0F7B32E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Heimeriks,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45D719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Vaan,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FDC3A67" w14:textId="77777777"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Suire,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EB934E6" w14:textId="77777777"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5C298359" w14:textId="43E4DE1C" w:rsidR="006F583C" w:rsidRPr="00005CF6" w:rsidRDefault="00A94BE9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FA0E0A6" w14:textId="77777777"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9D708B0" w14:textId="77777777"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9750D3E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Carrincazeaux and D. Doloreux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14:paraId="4A8A0466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2BD7A714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Kogler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Crespi and F. Quatraro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B3184EF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Suire, R. (2013) The structure and geography of collaboration networks in the European GNSS industry: a 1-mode and 2-mode network analysis, in T. Scherngell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5C57010" w14:textId="77777777"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Vaan,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268C1E0" w14:textId="77777777"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7E25A5D" w14:textId="77777777"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11B146CE" w14:textId="77777777"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14:paraId="58F60CF7" w14:textId="77777777"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Dixson-Declève,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725C3CE7" w14:textId="77777777"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579951EB" w14:textId="77777777"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Balland, P.A., and Ravet,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FE882B5" w14:textId="77777777"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05EB2789" w14:textId="77777777"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Massard, N., and Balland, P.A. (2010) Quelles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générale de la compétitivité,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295854B7" w14:textId="77777777"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CB6AED2" w14:textId="77777777"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Data and Softwares</w:t>
      </w:r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475D8CEC" w14:textId="77777777"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F42362" w14:textId="77777777"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EconGeo: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14:paraId="32FE44CA" w14:textId="77777777"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HistPat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doi: 10.7910/DVN/BPC15W</w:t>
      </w:r>
    </w:p>
    <w:p w14:paraId="5FA1B94C" w14:textId="77777777"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A4E7020" w14:textId="77777777"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PhD Thesis</w:t>
      </w:r>
    </w:p>
    <w:p w14:paraId="0E305B76" w14:textId="77777777"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0317D8E" w14:textId="77777777"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5AA9990" w14:textId="77777777"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D1EF38" w14:textId="77777777"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14:paraId="4CD3233D" w14:textId="77777777"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AFBCA94" w14:textId="77777777"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Arnault Morisson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14:paraId="08976D6E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Petralia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44DCA63" w14:textId="77777777"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Brachert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759FF00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Teresa Farinha Fernandes - Utrecht University (since 2014) </w:t>
      </w:r>
    </w:p>
    <w:p w14:paraId="42985DF8" w14:textId="77777777"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Mathieu Steijn - Utrecht University (since 2014) </w:t>
      </w:r>
    </w:p>
    <w:p w14:paraId="6A59CB0F" w14:textId="77777777"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 van Dam – Utrecht University (since 2017)</w:t>
      </w:r>
    </w:p>
    <w:p w14:paraId="11CFE1BB" w14:textId="77777777"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Lars Mewes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14:paraId="6F139042" w14:textId="77777777"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 Juhász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14:paraId="5C921F33" w14:textId="77777777"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14:paraId="5A84E1C3" w14:textId="77777777"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"The EU needs to fix the east – west innovation gap", by Florin Zubașcu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1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Périé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4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6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14:paraId="2BF07B70" w14:textId="77777777"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Social Network Analysis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Informetrics,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lastRenderedPageBreak/>
        <w:t xml:space="preserve">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L'Actualité Économique,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23100F3" w14:textId="77777777"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3CFE49A9" w14:textId="77777777"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14:paraId="025CBB01" w14:textId="77777777"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A7ECA57" w14:textId="77777777"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14:paraId="2D252F32" w14:textId="77777777"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Relatedness, knowledge complexity and technological opportunities of regions: A framework for smart specialisation,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14:paraId="06905581" w14:textId="77777777"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14:paraId="6A2CDC26" w14:textId="77777777"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14:paraId="5606970A" w14:textId="77777777"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(Basiskwalificatie Onderwijs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7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24D0" w14:textId="77777777" w:rsidR="006D440F" w:rsidRDefault="006D440F" w:rsidP="001C5E98">
      <w:pPr>
        <w:spacing w:after="0" w:line="240" w:lineRule="auto"/>
      </w:pPr>
      <w:r>
        <w:separator/>
      </w:r>
    </w:p>
  </w:endnote>
  <w:endnote w:type="continuationSeparator" w:id="0">
    <w:p w14:paraId="699CD592" w14:textId="77777777" w:rsidR="006D440F" w:rsidRDefault="006D440F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7285" w14:textId="77777777" w:rsidR="006D440F" w:rsidRDefault="006D440F" w:rsidP="001C5E98">
      <w:pPr>
        <w:spacing w:after="0" w:line="240" w:lineRule="auto"/>
      </w:pPr>
      <w:r>
        <w:separator/>
      </w:r>
    </w:p>
  </w:footnote>
  <w:footnote w:type="continuationSeparator" w:id="0">
    <w:p w14:paraId="624DFE49" w14:textId="77777777" w:rsidR="006D440F" w:rsidRDefault="006D440F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oFAHYMfuU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4441F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E78F1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45505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B93"/>
    <w:rsid w:val="00397D9A"/>
    <w:rsid w:val="003A3874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602E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80323"/>
    <w:rsid w:val="00582D1A"/>
    <w:rsid w:val="0059229B"/>
    <w:rsid w:val="00596030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1FDE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B61F5"/>
    <w:rsid w:val="006C3074"/>
    <w:rsid w:val="006C7AF2"/>
    <w:rsid w:val="006D28B5"/>
    <w:rsid w:val="006D440F"/>
    <w:rsid w:val="006D4486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F4BE9"/>
    <w:rsid w:val="007F6507"/>
    <w:rsid w:val="00805C89"/>
    <w:rsid w:val="00827B80"/>
    <w:rsid w:val="00840919"/>
    <w:rsid w:val="00850205"/>
    <w:rsid w:val="0085430D"/>
    <w:rsid w:val="00855AC1"/>
    <w:rsid w:val="008608BF"/>
    <w:rsid w:val="008615DD"/>
    <w:rsid w:val="00861C4A"/>
    <w:rsid w:val="00862648"/>
    <w:rsid w:val="00870725"/>
    <w:rsid w:val="008744D5"/>
    <w:rsid w:val="0087646B"/>
    <w:rsid w:val="0088177B"/>
    <w:rsid w:val="00887181"/>
    <w:rsid w:val="00887B96"/>
    <w:rsid w:val="00892398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9D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A7791"/>
    <w:rsid w:val="009B1DD4"/>
    <w:rsid w:val="009B3061"/>
    <w:rsid w:val="009B35E9"/>
    <w:rsid w:val="009B7CD7"/>
    <w:rsid w:val="009C1352"/>
    <w:rsid w:val="009C571D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10E20"/>
    <w:rsid w:val="00A209AA"/>
    <w:rsid w:val="00A211D5"/>
    <w:rsid w:val="00A249FD"/>
    <w:rsid w:val="00A2796C"/>
    <w:rsid w:val="00A30B47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0191C"/>
    <w:rsid w:val="00B10B68"/>
    <w:rsid w:val="00B13DA2"/>
    <w:rsid w:val="00B1631C"/>
    <w:rsid w:val="00B20B9B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82C3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2509E"/>
    <w:rsid w:val="00C3072F"/>
    <w:rsid w:val="00C34D70"/>
    <w:rsid w:val="00C355C2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10D3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64841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1430"/>
    <w:rsid w:val="00E33269"/>
    <w:rsid w:val="00E3329F"/>
    <w:rsid w:val="00E34EE0"/>
    <w:rsid w:val="00E362DA"/>
    <w:rsid w:val="00E37049"/>
    <w:rsid w:val="00E40429"/>
    <w:rsid w:val="00E45F72"/>
    <w:rsid w:val="00E53BAA"/>
    <w:rsid w:val="00E56460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488F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36959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balland.com" TargetMode="External"/><Relationship Id="rId13" Type="http://schemas.openxmlformats.org/officeDocument/2006/relationships/hyperlink" Target="http://chicagopolicyreview.org/2016/05/06/technology-as-an-urban-solution-to-economic-decli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s://www.youtube.com/watch?v=huHYx5PD5n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KbTq7hCM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ciencebusiness.net/news/eu-needs-fix-east-west-innovation-ga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s.lse.ac.uk/usappblog/2015/09/30/socio-economic-and-technological-flexibility-is-key-to-the-resilience-of-american-cities-in-times-of-crisis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toulouse.latribune.fr/innovation/2016-01-27/-creer-un-observatoire-de-l-innovation-pour-cartographier-les-competences-des-reg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4109</Words>
  <Characters>22600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40</cp:revision>
  <cp:lastPrinted>2016-09-19T17:19:00Z</cp:lastPrinted>
  <dcterms:created xsi:type="dcterms:W3CDTF">2021-08-27T16:27:00Z</dcterms:created>
  <dcterms:modified xsi:type="dcterms:W3CDTF">2023-10-04T10:32:00Z</dcterms:modified>
</cp:coreProperties>
</file>