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rFonts w:ascii="Arial" w:hAnsi="Arial" w:cs="Arial" w:eastAsia="Arial"/>
          <w:i w:val="off"/>
          <w:color w:val="E88C23"/>
        </w:rPr>
        <w:t>CARAC</w:t>
      </w: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5400"/>
        <w:gridCol w:w="4200"/>
      </w:tblGrid>
      <w:tr>
        <w:tc>
          <w:p>
            <w:pPr>
              <w:shd w:fill="E88C23"/>
            </w:pPr>
            <w:r>
              <w:rPr>
                <w:b w:val="on"/>
                <w:sz w:val="22"/>
                <w:rFonts w:ascii="Arial" w:hAnsi="Arial" w:cs="Arial" w:eastAsia="Arial"/>
                <w:color w:val="FFFFFF"/>
              </w:rPr>
              <w:t xml:space="preserve">  RELEVE DE COMPTE</w:t>
            </w:r>
          </w:p>
          <w:p>
            <w:pPr>
              <w:pBdr>
                <w:bottom w:val="single"/>
              </w:pBdr>
              <w:spacing w:before="60"/>
            </w:pPr>
            <w:r>
              <w:rPr>
                <w:b w:val="on"/>
                <w:sz w:val="20"/>
                <w:rFonts w:ascii="Arial" w:hAnsi="Arial" w:cs="Arial" w:eastAsia="Arial"/>
                <w:color w:val="E88C23"/>
              </w:rPr>
              <w:t xml:space="preserve">  REFERENCES A RAPPELER</w:t>
            </w:r>
          </w:p>
          <w:p>
            <w:pPr>
              <w:spacing w:before="20" w:after="20"/>
            </w:pPr>
            <w:r>
              <w:rPr>
                <w:b w:val="on"/>
                <w:sz w:val="18"/>
                <w:rFonts w:ascii="Arial" w:hAnsi="Arial" w:cs="Arial" w:eastAsia="Arial"/>
              </w:rPr>
              <w:t xml:space="preserve">Entite : </w:t>
            </w:r>
            <w:r>
              <w:rPr>
                <w:sz w:val="18"/>
                <w:rFonts w:ascii="Arial" w:hAnsi="Arial" w:cs="Arial" w:eastAsia="Arial"/>
              </w:rPr>
              <w:t>Credit Cooperatif</w:t>
            </w:r>
          </w:p>
          <w:p>
            <w:pPr>
              <w:spacing w:before="20" w:after="20"/>
            </w:pPr>
            <w:r>
              <w:rPr>
                <w:b w:val="on"/>
                <w:sz w:val="18"/>
                <w:rFonts w:ascii="Arial" w:hAnsi="Arial" w:cs="Arial" w:eastAsia="Arial"/>
              </w:rPr>
              <w:t xml:space="preserve">Adherent : </w:t>
            </w:r>
            <w:r>
              <w:rPr>
                <w:sz w:val="18"/>
                <w:rFonts w:ascii="Arial" w:hAnsi="Arial" w:cs="Arial" w:eastAsia="Arial"/>
              </w:rPr>
              <w:t>{{numeroAdherent}}</w:t>
            </w:r>
          </w:p>
          <w:p>
            <w:pPr>
              <w:spacing w:before="20" w:after="20"/>
            </w:pPr>
            <w:r>
              <w:rPr>
                <w:b w:val="on"/>
                <w:sz w:val="18"/>
                <w:rFonts w:ascii="Arial" w:hAnsi="Arial" w:cs="Arial" w:eastAsia="Arial"/>
              </w:rPr>
              <w:t xml:space="preserve">Identifiant Client : </w:t>
            </w:r>
            <w:r>
              <w:rPr>
                <w:sz w:val="18"/>
                <w:rFonts w:ascii="Arial" w:hAnsi="Arial" w:cs="Arial" w:eastAsia="Arial"/>
              </w:rPr>
              <w:t>{{identifiantClient}}</w:t>
            </w:r>
          </w:p>
          <w:p>
            <w:pPr>
              <w:spacing w:before="20" w:after="20"/>
            </w:pPr>
            <w:r>
              <w:rPr>
                <w:b w:val="on"/>
                <w:sz w:val="18"/>
                <w:rFonts w:ascii="Arial" w:hAnsi="Arial" w:cs="Arial" w:eastAsia="Arial"/>
              </w:rPr>
              <w:t xml:space="preserve">Contrat : </w:t>
            </w:r>
            <w:r>
              <w:rPr>
                <w:sz w:val="18"/>
                <w:rFonts w:ascii="Arial" w:hAnsi="Arial" w:cs="Arial" w:eastAsia="Arial"/>
              </w:rPr>
              <w:t>{{numeroContrat}}</w:t>
            </w:r>
          </w:p>
          <w:p>
            <w:pPr>
              <w:spacing w:before="20"/>
            </w:pPr>
            <w:r>
              <w:rPr>
                <w:b w:val="on"/>
                <w:sz w:val="18"/>
                <w:rFonts w:ascii="Arial" w:hAnsi="Arial" w:cs="Arial" w:eastAsia="Arial"/>
              </w:rPr>
              <w:t>Votre contact Credit Cooperatif :</w:t>
            </w:r>
          </w:p>
          <w:p>
            <w:r>
              <w:rPr>
                <w:sz w:val="18"/>
                <w:rFonts w:ascii="Arial" w:hAnsi="Arial" w:cs="Arial" w:eastAsia="Arial"/>
              </w:rPr>
              <w:t>Service Assurance</w:t>
            </w:r>
          </w:p>
          <w:p>
            <w:r>
              <w:rPr>
                <w:sz w:val="18"/>
                <w:rFonts w:ascii="Arial" w:hAnsi="Arial" w:cs="Arial" w:eastAsia="Arial"/>
              </w:rPr>
              <w:t>Tel. : 01 47 24 96 50</w:t>
            </w:r>
          </w:p>
        </w:tc>
        <w:tc>
          <w:tcPr>
            <w:vAlign w:val="center"/>
          </w:tcPr>
          <w:p>
            <w:pPr>
              <w:spacing w:before="200"/>
              <w:jc w:val="left"/>
            </w:pPr>
            <w:r>
              <w:rPr>
                <w:b w:val="on"/>
                <w:sz w:val="22"/>
                <w:rFonts w:ascii="Arial" w:hAnsi="Arial" w:cs="Arial" w:eastAsia="Arial"/>
              </w:rPr>
              <w:t>{{civilite}} {{prenom}} {{nom}}</w:t>
            </w:r>
          </w:p>
          <w:p>
            <w:pPr>
              <w:jc w:val="left"/>
            </w:pPr>
            <w:r>
              <w:rPr>
                <w:sz w:val="22"/>
                <w:rFonts w:ascii="Arial" w:hAnsi="Arial" w:cs="Arial" w:eastAsia="Arial"/>
              </w:rPr>
              <w:t>{{adresseLigne1}}</w:t>
            </w:r>
          </w:p>
          <w:p>
            <w:pPr>
              <w:jc w:val="left"/>
            </w:pPr>
            <w:r>
              <w:rPr>
                <w:sz w:val="22"/>
                <w:rFonts w:ascii="Arial" w:hAnsi="Arial" w:cs="Arial" w:eastAsia="Arial"/>
              </w:rPr>
              <w:t>{{adresseLigne2}}</w:t>
            </w:r>
          </w:p>
        </w:tc>
      </w:tr>
    </w:tbl>
    <w:p>
      <w:pPr>
        <w:spacing w:after="3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VOTRE RELEVE DE COMPTE AU {{dateReleve}}</w:t>
            </w:r>
          </w:p>
        </w:tc>
      </w:tr>
    </w:tbl>
    <w:p>
      <w:pPr>
        <w:spacing w:after="200"/>
      </w:pPr>
    </w:p>
    <w:p>
      <w:pPr>
        <w:spacing w:after="100"/>
        <w:jc w:val="left"/>
      </w:pPr>
      <w:r>
        <w:rPr>
          <w:b w:val="off"/>
          <w:sz w:val="20"/>
          <w:rFonts w:ascii="Arial" w:hAnsi="Arial" w:cs="Arial" w:eastAsia="Arial"/>
          <w:i w:val="off"/>
        </w:rPr>
        <w:t>Cher adherent,</w:t>
      </w:r>
    </w:p>
    <w:p>
      <w:pPr>
        <w:spacing w:after="200"/>
        <w:jc w:val="both"/>
      </w:pPr>
      <w:r>
        <w:rPr>
          <w:b w:val="off"/>
          <w:sz w:val="20"/>
          <w:rFonts w:ascii="Arial" w:hAnsi="Arial" w:cs="Arial" w:eastAsia="Arial"/>
          <w:i w:val="off"/>
        </w:rPr>
        <w:t>Nous vous prions de trouver le releve de l'annee au {{dateReleveCourt}} concernant votre contrat Assurance Vie Agir cite en reference.</w:t>
      </w: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400"/>
        <w:gridCol w:w="2400"/>
        <w:gridCol w:w="2400"/>
        <w:gridCol w:w="2400"/>
      </w:tblGrid>
      <w:tr>
        <w:tc>
          <w:tcPr>
            <w:shd w:color="auto" w:val="clear" w:fill="FDF2E9"/>
          </w:tcPr>
          <w:p>
            <w:pPr>
              <w:spacing w:before="40" w:after="40"/>
              <w:jc w:val="center"/>
            </w:pPr>
            <w:r>
              <w:rPr>
                <w:b w:val="on"/>
                <w:sz w:val="18"/>
                <w:rFonts w:ascii="Arial" w:hAnsi="Arial" w:cs="Arial" w:eastAsia="Arial"/>
              </w:rPr>
              <w:t>Assurance Vie Agir</w:t>
            </w:r>
          </w:p>
        </w:tc>
        <w:tc>
          <w:tcPr>
            <w:shd w:color="auto" w:val="clear" w:fill="FDF2E9"/>
          </w:tcPr>
          <w:p>
            <w:pPr>
              <w:spacing w:before="40" w:after="40"/>
              <w:jc w:val="center"/>
            </w:pPr>
            <w:r>
              <w:rPr>
                <w:b w:val="on"/>
                <w:sz w:val="18"/>
                <w:rFonts w:ascii="Arial" w:hAnsi="Arial" w:cs="Arial" w:eastAsia="Arial"/>
              </w:rPr>
              <w:t>Date d'effet du contrat</w:t>
            </w:r>
          </w:p>
        </w:tc>
        <w:tc>
          <w:tcPr>
            <w:shd w:color="auto" w:val="clear" w:fill="FDF2E9"/>
          </w:tcPr>
          <w:p>
            <w:pPr>
              <w:spacing w:before="40" w:after="40"/>
              <w:jc w:val="center"/>
            </w:pPr>
            <w:r>
              <w:rPr>
                <w:b w:val="on"/>
                <w:sz w:val="18"/>
                <w:rFonts w:ascii="Arial" w:hAnsi="Arial" w:cs="Arial" w:eastAsia="Arial"/>
              </w:rPr>
              <w:t>Cadre fiscal</w:t>
            </w:r>
          </w:p>
        </w:tc>
        <w:tc>
          <w:tcPr>
            <w:shd w:color="auto" w:val="clear" w:fill="FDF2E9"/>
          </w:tcPr>
          <w:p>
            <w:pPr>
              <w:spacing w:before="40" w:after="40"/>
              <w:jc w:val="center"/>
            </w:pPr>
            <w:r>
              <w:rPr>
                <w:b w:val="on"/>
                <w:sz w:val="18"/>
                <w:rFonts w:ascii="Arial" w:hAnsi="Arial" w:cs="Arial" w:eastAsia="Arial"/>
              </w:rPr>
              <w:t>Date du terme du contrat</w:t>
            </w:r>
          </w:p>
        </w:tc>
      </w:tr>
      <w:tr>
        <w:tc>
          <w:p>
            <w:pPr>
              <w:spacing w:before="40" w:after="40"/>
              <w:jc w:val="center"/>
            </w:pPr>
            <w:r>
              <w:rPr>
                <w:b w:val="off"/>
                <w:sz w:val="18"/>
                <w:rFonts w:ascii="Arial" w:hAnsi="Arial" w:cs="Arial" w:eastAsia="Arial"/>
              </w:rPr>
              <w:t/>
            </w:r>
          </w:p>
        </w:tc>
        <w:tc>
          <w:p>
            <w:pPr>
              <w:spacing w:before="40" w:after="40"/>
              <w:jc w:val="center"/>
            </w:pPr>
            <w:r>
              <w:rPr>
                <w:b w:val="off"/>
                <w:sz w:val="18"/>
                <w:rFonts w:ascii="Arial" w:hAnsi="Arial" w:cs="Arial" w:eastAsia="Arial"/>
              </w:rPr>
              <w:t>{{dateEffetContrat}}</w:t>
            </w:r>
          </w:p>
        </w:tc>
        <w:tc>
          <w:p>
            <w:pPr>
              <w:spacing w:before="40" w:after="40"/>
              <w:jc w:val="center"/>
            </w:pPr>
            <w:r>
              <w:rPr>
                <w:b w:val="off"/>
                <w:sz w:val="18"/>
                <w:rFonts w:ascii="Arial" w:hAnsi="Arial" w:cs="Arial" w:eastAsia="Arial"/>
              </w:rPr>
              <w:t>{{cadreFiscal}}</w:t>
            </w:r>
          </w:p>
        </w:tc>
        <w:tc>
          <w:p>
            <w:pPr>
              <w:spacing w:before="40" w:after="40"/>
              <w:jc w:val="center"/>
            </w:pPr>
            <w:r>
              <w:rPr>
                <w:b w:val="off"/>
                <w:sz w:val="18"/>
                <w:rFonts w:ascii="Arial" w:hAnsi="Arial" w:cs="Arial" w:eastAsia="Arial"/>
              </w:rPr>
              <w:t>{{dateTermeContrat}}</w:t>
            </w:r>
          </w:p>
        </w:tc>
      </w:tr>
    </w:tbl>
    <w:p>
      <w:pPr>
        <w:spacing w:after="200"/>
        <w:jc w:val="both"/>
      </w:pPr>
      <w:r>
        <w:rPr>
          <w:b w:val="off"/>
          <w:sz w:val="16"/>
          <w:rFonts w:ascii="Arial" w:hAnsi="Arial" w:cs="Arial" w:eastAsia="Arial"/>
          <w:i w:val="off"/>
        </w:rPr>
        <w:t>Sauf avis contraire de votre part, votre garantie est automatiquement prorogee annuellement.</w:t>
      </w: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5200"/>
        <w:gridCol w:w="2200"/>
        <w:gridCol w:w="2200"/>
      </w:tblGrid>
      <w:tr>
        <w:tc>
          <w:p>
            <w:pPr>
              <w:spacing w:before="40" w:after="40"/>
              <w:jc w:val="left"/>
            </w:pPr>
            <w:r>
              <w:rPr>
                <w:b w:val="on"/>
                <w:sz w:val="18"/>
                <w:rFonts w:ascii="Arial" w:hAnsi="Arial" w:cs="Arial" w:eastAsia="Arial"/>
                <w:color w:val="E88C23"/>
              </w:rPr>
              <w:t>Mouvement</w:t>
            </w:r>
          </w:p>
        </w:tc>
        <w:tc>
          <w:p>
            <w:pPr>
              <w:spacing w:before="40" w:after="40"/>
              <w:jc w:val="center"/>
            </w:pPr>
            <w:r>
              <w:rPr>
                <w:b w:val="on"/>
                <w:sz w:val="18"/>
                <w:rFonts w:ascii="Arial" w:hAnsi="Arial" w:cs="Arial" w:eastAsia="Arial"/>
                <w:color w:val="E88C23"/>
              </w:rPr>
              <w:t>Montant investi</w:t>
            </w:r>
          </w:p>
        </w:tc>
        <w:tc>
          <w:p>
            <w:pPr>
              <w:spacing w:before="40" w:after="40"/>
              <w:jc w:val="center"/>
            </w:pPr>
            <w:r>
              <w:rPr>
                <w:b w:val="on"/>
                <w:sz w:val="18"/>
                <w:rFonts w:ascii="Arial" w:hAnsi="Arial" w:cs="Arial" w:eastAsia="Arial"/>
                <w:color w:val="E88C23"/>
              </w:rPr>
              <w:t>Montant desinvesti</w:t>
            </w:r>
          </w:p>
        </w:tc>
      </w:tr>
      <w:tr>
        <w:tc>
          <w:p>
            <w:pPr>
              <w:spacing w:before="40" w:after="40"/>
              <w:jc w:val="left"/>
            </w:pPr>
            <w:r>
              <w:rPr>
                <w:b w:val="on"/>
                <w:sz w:val="18"/>
                <w:rFonts w:ascii="Arial" w:hAnsi="Arial" w:cs="Arial" w:eastAsia="Arial"/>
              </w:rPr>
              <w:t>Epargne en compte* au {{datePrecedente}}</w:t>
            </w:r>
          </w:p>
        </w:tc>
        <w:tc>
          <w:p>
            <w:pPr>
              <w:spacing w:before="40" w:after="40"/>
              <w:jc w:val="right"/>
            </w:pPr>
            <w:r>
              <w:rPr>
                <w:b w:val="off"/>
                <w:sz w:val="18"/>
                <w:rFonts w:ascii="Arial" w:hAnsi="Arial" w:cs="Arial" w:eastAsia="Arial"/>
              </w:rPr>
              <w:t>{{epargnePrecedente}}</w:t>
            </w:r>
          </w:p>
        </w:tc>
        <w:tc>
          <w:p>
            <w:pPr>
              <w:spacing w:before="40" w:after="40"/>
              <w:jc w:val="left"/>
            </w:pPr>
            <w:r>
              <w:rPr>
                <w:b w:val="off"/>
                <w:sz w:val="18"/>
                <w:rFonts w:ascii="Arial" w:hAnsi="Arial" w:cs="Arial" w:eastAsia="Arial"/>
              </w:rPr>
              <w:t/>
            </w:r>
          </w:p>
        </w:tc>
      </w:tr>
      <w:tr>
        <w:tc>
          <w:p>
            <w:pPr>
              <w:spacing w:before="40" w:after="40"/>
              <w:jc w:val="left"/>
            </w:pPr>
            <w:r>
              <w:rPr>
                <w:b w:val="off"/>
                <w:sz w:val="18"/>
                <w:rFonts w:ascii="Arial" w:hAnsi="Arial" w:cs="Arial" w:eastAsia="Arial"/>
              </w:rPr>
              <w:t>Total des versements nets</w:t>
            </w:r>
          </w:p>
        </w:tc>
        <w:tc>
          <w:p>
            <w:pPr>
              <w:spacing w:before="40" w:after="40"/>
              <w:jc w:val="right"/>
            </w:pPr>
            <w:r>
              <w:rPr>
                <w:b w:val="off"/>
                <w:sz w:val="18"/>
                <w:rFonts w:ascii="Arial" w:hAnsi="Arial" w:cs="Arial" w:eastAsia="Arial"/>
              </w:rPr>
              <w:t>{{totalVersementsNets}}</w:t>
            </w:r>
          </w:p>
        </w:tc>
        <w:tc>
          <w:p>
            <w:pPr>
              <w:spacing w:before="40" w:after="40"/>
              <w:jc w:val="left"/>
            </w:pPr>
            <w:r>
              <w:rPr>
                <w:b w:val="off"/>
                <w:sz w:val="18"/>
                <w:rFonts w:ascii="Arial" w:hAnsi="Arial" w:cs="Arial" w:eastAsia="Arial"/>
              </w:rPr>
              <w:t/>
            </w:r>
          </w:p>
        </w:tc>
      </w:tr>
      <w:tr>
        <w:tc>
          <w:p>
            <w:pPr>
              <w:spacing w:before="40" w:after="40"/>
              <w:jc w:val="left"/>
            </w:pPr>
            <w:r>
              <w:rPr>
                <w:b w:val="off"/>
                <w:sz w:val="18"/>
                <w:rFonts w:ascii="Arial" w:hAnsi="Arial" w:cs="Arial" w:eastAsia="Arial"/>
              </w:rPr>
              <w:t>Total des rachats</w:t>
            </w:r>
          </w:p>
        </w:tc>
        <w:tc>
          <w:p>
            <w:pPr>
              <w:spacing w:before="40" w:after="40"/>
              <w:jc w:val="left"/>
            </w:pPr>
            <w:r>
              <w:rPr>
                <w:b w:val="off"/>
                <w:sz w:val="18"/>
                <w:rFonts w:ascii="Arial" w:hAnsi="Arial" w:cs="Arial" w:eastAsia="Arial"/>
              </w:rPr>
              <w:t/>
            </w:r>
          </w:p>
        </w:tc>
        <w:tc>
          <w:p>
            <w:pPr>
              <w:spacing w:before="40" w:after="40"/>
              <w:jc w:val="right"/>
            </w:pPr>
            <w:r>
              <w:rPr>
                <w:b w:val="off"/>
                <w:sz w:val="18"/>
                <w:rFonts w:ascii="Arial" w:hAnsi="Arial" w:cs="Arial" w:eastAsia="Arial"/>
              </w:rPr>
              <w:t>{{totalRachats}}</w:t>
            </w:r>
          </w:p>
        </w:tc>
      </w:tr>
      <w:tr>
        <w:tc>
          <w:p>
            <w:pPr>
              <w:spacing w:before="40" w:after="40"/>
              <w:jc w:val="left"/>
            </w:pPr>
            <w:r>
              <w:rPr>
                <w:b w:val="off"/>
                <w:sz w:val="18"/>
                <w:rFonts w:ascii="Arial" w:hAnsi="Arial" w:cs="Arial" w:eastAsia="Arial"/>
              </w:rPr>
              <w:t>Total des arbitrages</w:t>
            </w:r>
          </w:p>
        </w:tc>
        <w:tc>
          <w:p>
            <w:pPr>
              <w:spacing w:before="40" w:after="40"/>
              <w:jc w:val="right"/>
            </w:pPr>
            <w:r>
              <w:rPr>
                <w:b w:val="off"/>
                <w:sz w:val="18"/>
                <w:rFonts w:ascii="Arial" w:hAnsi="Arial" w:cs="Arial" w:eastAsia="Arial"/>
              </w:rPr>
              <w:t>{{totalArbitragesInvestis}}</w:t>
            </w:r>
          </w:p>
        </w:tc>
        <w:tc>
          <w:p>
            <w:pPr>
              <w:spacing w:before="40" w:after="40"/>
              <w:jc w:val="right"/>
            </w:pPr>
            <w:r>
              <w:rPr>
                <w:b w:val="off"/>
                <w:sz w:val="18"/>
                <w:rFonts w:ascii="Arial" w:hAnsi="Arial" w:cs="Arial" w:eastAsia="Arial"/>
              </w:rPr>
              <w:t>{{totalArbitragesDesinvestis}}</w:t>
            </w:r>
          </w:p>
        </w:tc>
      </w:tr>
      <w:tr>
        <w:tc>
          <w:p>
            <w:pPr>
              <w:spacing w:before="40" w:after="0"/>
            </w:pPr>
            <w:r>
              <w:rPr>
                <w:b w:val="on"/>
                <w:u w:val="single"/>
                <w:sz w:val="18"/>
                <w:rFonts w:ascii="Arial" w:hAnsi="Arial" w:cs="Arial" w:eastAsia="Arial"/>
              </w:rPr>
              <w:t>Pour le support Securite libelle en euros</w:t>
            </w:r>
          </w:p>
          <w:p>
            <w:pPr>
              <w:spacing w:before="0" w:after="40"/>
            </w:pPr>
            <w:r>
              <w:rPr>
                <w:sz w:val="16"/>
                <w:rFonts w:ascii="Arial" w:hAnsi="Arial" w:cs="Arial" w:eastAsia="Arial"/>
              </w:rPr>
              <w:t>Interets techniques, participation aux excedents, frais sur epargne geree, prelevements sociaux</w:t>
            </w:r>
          </w:p>
        </w:tc>
        <w:tc>
          <w:p>
            <w:pPr>
              <w:spacing w:before="40" w:after="40"/>
              <w:jc w:val="right"/>
            </w:pPr>
            <w:r>
              <w:rPr>
                <w:b w:val="off"/>
                <w:sz w:val="18"/>
                <w:rFonts w:ascii="Arial" w:hAnsi="Arial" w:cs="Arial" w:eastAsia="Arial"/>
              </w:rPr>
              <w:t>{{interetsTechniquesInvestis}}</w:t>
            </w:r>
          </w:p>
        </w:tc>
        <w:tc>
          <w:p>
            <w:pPr>
              <w:spacing w:before="40" w:after="40"/>
              <w:jc w:val="left"/>
            </w:pPr>
            <w:r>
              <w:rPr>
                <w:b w:val="off"/>
                <w:sz w:val="18"/>
                <w:rFonts w:ascii="Arial" w:hAnsi="Arial" w:cs="Arial" w:eastAsia="Arial"/>
              </w:rPr>
              <w:t/>
            </w:r>
          </w:p>
        </w:tc>
      </w:tr>
      <w:tr>
        <w:tc>
          <w:p>
            <w:pPr>
              <w:spacing w:before="40" w:after="40"/>
              <w:jc w:val="left"/>
            </w:pPr>
            <w:r>
              <w:rPr>
                <w:b w:val="off"/>
                <w:sz w:val="18"/>
                <w:rFonts w:ascii="Arial" w:hAnsi="Arial" w:cs="Arial" w:eastAsia="Arial"/>
              </w:rPr>
              <w:t>Cotisation plancher</w:t>
            </w:r>
          </w:p>
        </w:tc>
        <w:tc>
          <w:p>
            <w:pPr>
              <w:spacing w:before="40" w:after="40"/>
              <w:jc w:val="left"/>
            </w:pPr>
            <w:r>
              <w:rPr>
                <w:b w:val="off"/>
                <w:sz w:val="18"/>
                <w:rFonts w:ascii="Arial" w:hAnsi="Arial" w:cs="Arial" w:eastAsia="Arial"/>
              </w:rPr>
              <w:t/>
            </w:r>
          </w:p>
        </w:tc>
        <w:tc>
          <w:p>
            <w:pPr>
              <w:spacing w:before="40" w:after="40"/>
              <w:jc w:val="right"/>
            </w:pPr>
            <w:r>
              <w:rPr>
                <w:b w:val="off"/>
                <w:sz w:val="18"/>
                <w:rFonts w:ascii="Arial" w:hAnsi="Arial" w:cs="Arial" w:eastAsia="Arial"/>
              </w:rPr>
              <w:t>{{cotisationPlancherEuros}}</w:t>
            </w:r>
          </w:p>
        </w:tc>
      </w:tr>
      <w:tr>
        <w:tc>
          <w:p>
            <w:pPr>
              <w:spacing w:before="40" w:after="0"/>
            </w:pPr>
            <w:r>
              <w:rPr>
                <w:b w:val="on"/>
                <w:u w:val="single"/>
                <w:sz w:val="18"/>
                <w:rFonts w:ascii="Arial" w:hAnsi="Arial" w:cs="Arial" w:eastAsia="Arial"/>
              </w:rPr>
              <w:t>Pour les supports en unites de compte</w:t>
            </w:r>
          </w:p>
          <w:p>
            <w:pPr>
              <w:spacing w:before="0" w:after="40"/>
            </w:pPr>
            <w:r>
              <w:rPr>
                <w:sz w:val="18"/>
                <w:rFonts w:ascii="Arial" w:hAnsi="Arial" w:cs="Arial" w:eastAsia="Arial"/>
              </w:rPr>
              <w:t>Plus ou moins-value latente</w:t>
            </w:r>
          </w:p>
        </w:tc>
        <w:tc>
          <w:p>
            <w:pPr>
              <w:spacing w:before="40" w:after="40"/>
              <w:jc w:val="right"/>
            </w:pPr>
            <w:r>
              <w:rPr>
                <w:b w:val="on"/>
                <w:sz w:val="18"/>
                <w:rFonts w:ascii="Arial" w:hAnsi="Arial" w:cs="Arial" w:eastAsia="Arial"/>
              </w:rPr>
              <w:t>{{plusMoinsValueUCInvestie}}</w:t>
            </w:r>
          </w:p>
        </w:tc>
        <w:tc>
          <w:p>
            <w:pPr>
              <w:spacing w:before="40" w:after="40"/>
              <w:jc w:val="right"/>
            </w:pPr>
            <w:r>
              <w:rPr>
                <w:b w:val="on"/>
                <w:sz w:val="18"/>
                <w:rFonts w:ascii="Arial" w:hAnsi="Arial" w:cs="Arial" w:eastAsia="Arial"/>
              </w:rPr>
              <w:t>{{plusMoinsValueUCDesinvestie}}</w:t>
            </w:r>
          </w:p>
        </w:tc>
      </w:tr>
      <w:tr>
        <w:tc>
          <w:p>
            <w:pPr>
              <w:spacing w:before="40" w:after="40"/>
              <w:jc w:val="left"/>
            </w:pPr>
            <w:r>
              <w:rPr>
                <w:b w:val="off"/>
                <w:sz w:val="18"/>
                <w:rFonts w:ascii="Arial" w:hAnsi="Arial" w:cs="Arial" w:eastAsia="Arial"/>
              </w:rPr>
              <w:t>Cotisation plancher</w:t>
            </w:r>
          </w:p>
        </w:tc>
        <w:tc>
          <w:p>
            <w:pPr>
              <w:spacing w:before="40" w:after="40"/>
              <w:jc w:val="left"/>
            </w:pPr>
            <w:r>
              <w:rPr>
                <w:b w:val="off"/>
                <w:sz w:val="18"/>
                <w:rFonts w:ascii="Arial" w:hAnsi="Arial" w:cs="Arial" w:eastAsia="Arial"/>
              </w:rPr>
              <w:t/>
            </w:r>
          </w:p>
        </w:tc>
        <w:tc>
          <w:p>
            <w:pPr>
              <w:spacing w:before="40" w:after="40"/>
              <w:jc w:val="right"/>
            </w:pPr>
            <w:r>
              <w:rPr>
                <w:b w:val="off"/>
                <w:sz w:val="18"/>
                <w:rFonts w:ascii="Arial" w:hAnsi="Arial" w:cs="Arial" w:eastAsia="Arial"/>
              </w:rPr>
              <w:t>{{cotisationPlancherUC}}</w:t>
            </w:r>
          </w:p>
        </w:tc>
      </w:tr>
      <w:tr>
        <w:tc>
          <w:p>
            <w:pPr>
              <w:spacing w:before="40" w:after="40"/>
              <w:jc w:val="left"/>
            </w:pPr>
            <w:r>
              <w:rPr>
                <w:b w:val="on"/>
                <w:sz w:val="18"/>
                <w:rFonts w:ascii="Arial" w:hAnsi="Arial" w:cs="Arial" w:eastAsia="Arial"/>
              </w:rPr>
              <w:t>Epargne en compte* au {{dateCourante}}</w:t>
            </w:r>
          </w:p>
        </w:tc>
        <w:tc>
          <w:p>
            <w:pPr>
              <w:spacing w:before="40" w:after="40"/>
              <w:jc w:val="right"/>
            </w:pPr>
            <w:r>
              <w:rPr>
                <w:b w:val="on"/>
                <w:sz w:val="18"/>
                <w:rFonts w:ascii="Arial" w:hAnsi="Arial" w:cs="Arial" w:eastAsia="Arial"/>
              </w:rPr>
              <w:t>{{epargneCourante}}</w:t>
            </w:r>
          </w:p>
        </w:tc>
        <w:tc>
          <w:p>
            <w:pPr>
              <w:spacing w:before="40" w:after="40"/>
              <w:jc w:val="left"/>
            </w:pPr>
            <w:r>
              <w:rPr>
                <w:b w:val="off"/>
                <w:sz w:val="18"/>
                <w:rFonts w:ascii="Arial" w:hAnsi="Arial" w:cs="Arial" w:eastAsia="Arial"/>
              </w:rPr>
              <w:t/>
            </w:r>
          </w:p>
        </w:tc>
      </w:tr>
    </w:tbl>
    <w:p>
      <w:pPr>
        <w:pageBreakBefore w:val="on"/>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DETAIL DE VOS RACHATS SUR L'ANNEE {{anneeCourante}}</w:t>
            </w:r>
          </w:p>
        </w:tc>
      </w:tr>
    </w:tbl>
    <w:p>
      <w:pPr>
        <w:spacing w:after="100"/>
      </w:pP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200"/>
        <w:gridCol w:w="1200"/>
        <w:gridCol w:w="1200"/>
        <w:gridCol w:w="1500"/>
        <w:gridCol w:w="1600"/>
        <w:gridCol w:w="1900"/>
      </w:tblGrid>
      <w:tr>
        <w:tc>
          <w:tcPr>
            <w:shd w:color="auto" w:val="clear" w:fill="E88C23"/>
          </w:tcPr>
          <w:p>
            <w:pPr>
              <w:spacing w:before="60" w:after="60"/>
              <w:jc w:val="center"/>
            </w:pPr>
            <w:r>
              <w:rPr>
                <w:b w:val="on"/>
                <w:sz w:val="18"/>
                <w:rFonts w:ascii="Arial" w:hAnsi="Arial" w:cs="Arial" w:eastAsia="Arial"/>
                <w:color w:val="FFFFFF"/>
              </w:rPr>
              <w:t>Operation</w:t>
            </w:r>
          </w:p>
        </w:tc>
        <w:tc>
          <w:tcPr>
            <w:shd w:color="auto" w:val="clear" w:fill="E88C23"/>
          </w:tcPr>
          <w:p>
            <w:pPr>
              <w:spacing w:before="60" w:after="60"/>
              <w:jc w:val="center"/>
            </w:pPr>
            <w:r>
              <w:rPr>
                <w:b w:val="on"/>
                <w:sz w:val="18"/>
                <w:rFonts w:ascii="Arial" w:hAnsi="Arial" w:cs="Arial" w:eastAsia="Arial"/>
                <w:color w:val="FFFFFF"/>
              </w:rPr>
              <w:t>Date de l'operation</w:t>
            </w:r>
          </w:p>
        </w:tc>
        <w:tc>
          <w:tcPr>
            <w:shd w:color="auto" w:val="clear" w:fill="E88C23"/>
          </w:tcPr>
          <w:p>
            <w:pPr>
              <w:spacing w:before="60" w:after="60"/>
              <w:jc w:val="center"/>
            </w:pPr>
            <w:r>
              <w:rPr>
                <w:b w:val="on"/>
                <w:sz w:val="18"/>
                <w:rFonts w:ascii="Arial" w:hAnsi="Arial" w:cs="Arial" w:eastAsia="Arial"/>
                <w:color w:val="FFFFFF"/>
              </w:rPr>
              <w:t>Prise d'effet</w:t>
            </w:r>
          </w:p>
        </w:tc>
        <w:tc>
          <w:tcPr>
            <w:shd w:color="auto" w:val="clear" w:fill="E88C23"/>
          </w:tcPr>
          <w:p>
            <w:pPr>
              <w:spacing w:before="60" w:after="60"/>
              <w:jc w:val="center"/>
            </w:pPr>
            <w:r>
              <w:rPr>
                <w:b w:val="on"/>
                <w:sz w:val="18"/>
                <w:rFonts w:ascii="Arial" w:hAnsi="Arial" w:cs="Arial" w:eastAsia="Arial"/>
                <w:color w:val="FFFFFF"/>
              </w:rPr>
              <w:t>Montant de l'operation</w:t>
            </w:r>
          </w:p>
        </w:tc>
        <w:tc>
          <w:tcPr>
            <w:shd w:color="auto" w:val="clear" w:fill="E88C23"/>
          </w:tcPr>
          <w:p>
            <w:pPr>
              <w:spacing w:before="60" w:after="60"/>
              <w:jc w:val="center"/>
            </w:pPr>
            <w:r>
              <w:rPr>
                <w:b w:val="on"/>
                <w:sz w:val="18"/>
                <w:rFonts w:ascii="Arial" w:hAnsi="Arial" w:cs="Arial" w:eastAsia="Arial"/>
                <w:color w:val="FFFFFF"/>
              </w:rPr>
              <w:t>Montant investi</w:t>
            </w:r>
          </w:p>
        </w:tc>
        <w:tc>
          <w:tcPr>
            <w:shd w:color="auto" w:val="clear" w:fill="E88C23"/>
          </w:tcPr>
          <w:p>
            <w:pPr>
              <w:spacing w:before="60" w:after="60"/>
              <w:jc w:val="center"/>
            </w:pPr>
            <w:r>
              <w:rPr>
                <w:b w:val="on"/>
                <w:sz w:val="18"/>
                <w:rFonts w:ascii="Arial" w:hAnsi="Arial" w:cs="Arial" w:eastAsia="Arial"/>
                <w:color w:val="FFFFFF"/>
              </w:rPr>
              <w:t>Montant desinvesti</w:t>
            </w:r>
          </w:p>
        </w:tc>
      </w:tr>
      <w:tr>
        <w:tc>
          <w:p>
            <w:pPr>
              <w:spacing w:before="40" w:after="40"/>
              <w:jc w:val="left"/>
            </w:pPr>
            <w:r>
              <w:rPr>
                <w:b w:val="off"/>
                <w:sz w:val="18"/>
                <w:rFonts w:ascii="Arial" w:hAnsi="Arial" w:cs="Arial" w:eastAsia="Arial"/>
              </w:rPr>
              <w:t>{{#rachats}}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200"/>
        <w:gridCol w:w="1200"/>
        <w:gridCol w:w="1200"/>
        <w:gridCol w:w="1500"/>
        <w:gridCol w:w="1600"/>
        <w:gridCol w:w="1900"/>
      </w:tblGrid>
      <w:tr>
        <w:tc>
          <w:p>
            <w:pPr>
              <w:spacing w:before="40" w:after="40"/>
              <w:jc w:val="left"/>
            </w:pPr>
            <w:r>
              <w:rPr>
                <w:b w:val="on"/>
                <w:sz w:val="18"/>
                <w:rFonts w:ascii="Arial" w:hAnsi="Arial" w:cs="Arial" w:eastAsia="Arial"/>
              </w:rPr>
              <w:t>Total rachats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r>
        <w:tc>
          <w:p>
            <w:pPr>
              <w:spacing w:before="40" w:after="40"/>
              <w:jc w:val="left"/>
            </w:pPr>
            <w:r>
              <w:rPr>
                <w:b w:val="on"/>
                <w:sz w:val="18"/>
                <w:rFonts w:ascii="Arial" w:hAnsi="Arial" w:cs="Arial" w:eastAsia="Arial"/>
              </w:rPr>
              <w:t>Rachats partiels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rPr>
              <w:t>{{totalRachatsPartiels}}</w:t>
            </w:r>
          </w:p>
        </w:tc>
      </w:tr>
    </w:tbl>
    <w:p>
      <w:pPr>
        <w:spacing w:after="40"/>
      </w:pPr>
    </w:p>
    <w:p>
      <w:pPr>
        <w:spacing w:after="100"/>
        <w:jc w:val="both"/>
      </w:pPr>
      <w:r>
        <w:rPr>
          <w:b w:val="off"/>
          <w:sz w:val="16"/>
          <w:rFonts w:ascii="Arial" w:hAnsi="Arial" w:cs="Arial" w:eastAsia="Arial"/>
          <w:i w:val="on"/>
        </w:rPr>
        <w:t>(*) Le montant du desinvestissement indique comprend les prelevements associes eventuels (prelevements fiscaux et sociaux, les frais sur epargne geree).</w:t>
      </w:r>
    </w:p>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SITUATION DE VOTRE CONTRAT AU {{dateReleveCourt}}</w:t>
            </w:r>
          </w:p>
        </w:tc>
      </w:tr>
    </w:tbl>
    <w:p>
      <w:pPr>
        <w:spacing w:after="100"/>
      </w:pP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800"/>
        <w:gridCol w:w="1700"/>
        <w:gridCol w:w="1700"/>
        <w:gridCol w:w="1700"/>
        <w:gridCol w:w="1700"/>
      </w:tblGrid>
      <w:tr>
        <w:tc>
          <w:tcPr>
            <w:shd w:color="auto" w:val="clear" w:fill="E88C23"/>
          </w:tcPr>
          <w:p>
            <w:pPr>
              <w:spacing w:before="60" w:after="60"/>
              <w:jc w:val="center"/>
            </w:pPr>
            <w:r>
              <w:rPr>
                <w:b w:val="on"/>
                <w:sz w:val="18"/>
                <w:rFonts w:ascii="Arial" w:hAnsi="Arial" w:cs="Arial" w:eastAsia="Arial"/>
                <w:color w:val="FFFFFF"/>
              </w:rPr>
              <w:t>Support en unites de compte (UC)</w:t>
            </w:r>
          </w:p>
        </w:tc>
        <w:tc>
          <w:tcPr>
            <w:shd w:color="auto" w:val="clear" w:fill="E88C23"/>
          </w:tcPr>
          <w:p>
            <w:pPr>
              <w:spacing w:before="60" w:after="60"/>
              <w:jc w:val="center"/>
            </w:pPr>
            <w:r>
              <w:rPr>
                <w:b w:val="on"/>
                <w:sz w:val="18"/>
                <w:rFonts w:ascii="Arial" w:hAnsi="Arial" w:cs="Arial" w:eastAsia="Arial"/>
                <w:color w:val="FFFFFF"/>
              </w:rPr>
              <w:t>Valeur de l'UC au {{dateReleveCourt}}</w:t>
            </w:r>
          </w:p>
        </w:tc>
        <w:tc>
          <w:tcPr>
            <w:shd w:color="auto" w:val="clear" w:fill="E88C23"/>
          </w:tcPr>
          <w:p>
            <w:pPr>
              <w:spacing w:before="60" w:after="60"/>
              <w:jc w:val="center"/>
            </w:pPr>
            <w:r>
              <w:rPr>
                <w:b w:val="on"/>
                <w:sz w:val="18"/>
                <w:rFonts w:ascii="Arial" w:hAnsi="Arial" w:cs="Arial" w:eastAsia="Arial"/>
                <w:color w:val="FFFFFF"/>
              </w:rPr>
              <w:t>Nombre d'unites de compte</w:t>
            </w:r>
          </w:p>
        </w:tc>
        <w:tc>
          <w:tcPr>
            <w:shd w:color="auto" w:val="clear" w:fill="E88C23"/>
          </w:tcPr>
          <w:p>
            <w:pPr>
              <w:spacing w:before="60" w:after="60"/>
              <w:jc w:val="center"/>
            </w:pPr>
            <w:r>
              <w:rPr>
                <w:b w:val="on"/>
                <w:sz w:val="18"/>
                <w:rFonts w:ascii="Arial" w:hAnsi="Arial" w:cs="Arial" w:eastAsia="Arial"/>
                <w:color w:val="FFFFFF"/>
              </w:rPr>
              <w:t>Montant</w:t>
            </w:r>
          </w:p>
        </w:tc>
        <w:tc>
          <w:tcPr>
            <w:shd w:color="auto" w:val="clear" w:fill="E88C23"/>
          </w:tcPr>
          <w:p>
            <w:pPr>
              <w:spacing w:before="60" w:after="60"/>
              <w:jc w:val="center"/>
            </w:pPr>
            <w:r>
              <w:rPr>
                <w:b w:val="on"/>
                <w:sz w:val="18"/>
                <w:rFonts w:ascii="Arial" w:hAnsi="Arial" w:cs="Arial" w:eastAsia="Arial"/>
                <w:color w:val="FFFFFF"/>
              </w:rPr>
              <w:t>Frais preleves en {{anneeCourante}}</w:t>
            </w:r>
          </w:p>
        </w:tc>
      </w:tr>
      <w:tr>
        <w:tc>
          <w:p>
            <w:pPr>
              <w:spacing w:before="40" w:after="40"/>
              <w:jc w:val="left"/>
            </w:pPr>
            <w:r>
              <w:rPr>
                <w:b w:val="off"/>
                <w:sz w:val="18"/>
                <w:rFonts w:ascii="Arial" w:hAnsi="Arial" w:cs="Arial" w:eastAsia="Arial"/>
              </w:rPr>
              <w:t>{{#situationSupportsUC}}</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800"/>
        <w:gridCol w:w="1700"/>
        <w:gridCol w:w="1700"/>
        <w:gridCol w:w="1700"/>
        <w:gridCol w:w="1700"/>
      </w:tblGrid>
      <w:tr>
        <w:tc>
          <w:p>
            <w:pPr>
              <w:spacing w:before="40" w:after="40"/>
              <w:jc w:val="left"/>
            </w:pPr>
            <w:r>
              <w:rPr>
                <w:b w:val="off"/>
                <w:sz w:val="18"/>
                <w:rFonts w:ascii="Arial" w:hAnsi="Arial" w:cs="Arial" w:eastAsia="Arial"/>
              </w:rPr>
              <w:t>Support Securite libelle en euros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right"/>
            </w:pPr>
            <w:r>
              <w:rPr>
                <w:b w:val="off"/>
                <w:sz w:val="18"/>
                <w:rFonts w:ascii="Arial" w:hAnsi="Arial" w:cs="Arial" w:eastAsia="Arial"/>
              </w:rPr>
              <w:t>{{montantSupportEuros}}</w:t>
            </w:r>
          </w:p>
        </w:tc>
        <w:tc>
          <w:p>
            <w:pPr>
              <w:spacing w:before="40" w:after="40"/>
              <w:jc w:val="right"/>
            </w:pPr>
            <w:r>
              <w:rPr>
                <w:b w:val="off"/>
                <w:sz w:val="18"/>
                <w:rFonts w:ascii="Arial" w:hAnsi="Arial" w:cs="Arial" w:eastAsia="Arial"/>
              </w:rPr>
              <w:t>{{fraisSupportEuros}}</w:t>
            </w:r>
          </w:p>
        </w:tc>
      </w:tr>
      <w:tr>
        <w:tc>
          <w:p>
            <w:pPr>
              <w:spacing w:before="40" w:after="40"/>
              <w:jc w:val="left"/>
            </w:pPr>
            <w:r>
              <w:rPr>
                <w:b w:val="on"/>
                <w:sz w:val="18"/>
                <w:rFonts w:ascii="Arial" w:hAnsi="Arial" w:cs="Arial" w:eastAsia="Arial"/>
              </w:rPr>
              <w:t>Valeur de rachat au {{dateCourante}}</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rPr>
              <w:t>{{valeurRachat}}</w:t>
            </w:r>
          </w:p>
        </w:tc>
        <w:tc>
          <w:p>
            <w:pPr>
              <w:spacing w:before="40" w:after="40"/>
              <w:jc w:val="left"/>
            </w:pPr>
            <w:r>
              <w:rPr>
                <w:b w:val="off"/>
                <w:sz w:val="18"/>
                <w:rFonts w:ascii="Arial" w:hAnsi="Arial" w:cs="Arial" w:eastAsia="Arial"/>
              </w:rPr>
              <w:t/>
            </w:r>
          </w:p>
        </w:tc>
      </w:tr>
    </w:tbl>
    <w:p>
      <w:pPr>
        <w:spacing w:after="40"/>
      </w:pPr>
    </w:p>
    <w:p>
      <w:pPr>
        <w:spacing w:after="40"/>
        <w:jc w:val="left"/>
      </w:pPr>
      <w:r>
        <w:rPr>
          <w:b w:val="off"/>
          <w:sz w:val="14"/>
          <w:rFonts w:ascii="Arial" w:hAnsi="Arial" w:cs="Arial" w:eastAsia="Arial"/>
          <w:i w:val="off"/>
        </w:rPr>
        <w:t>(1) Net de frais preleves</w:t>
      </w:r>
    </w:p>
    <w:p>
      <w:pPr>
        <w:spacing w:after="100"/>
        <w:jc w:val="both"/>
      </w:pPr>
      <w:r>
        <w:rPr>
          <w:b w:val="off"/>
          <w:sz w:val="14"/>
          <w:rFonts w:ascii="Arial" w:hAnsi="Arial" w:cs="Arial" w:eastAsia="Arial"/>
          <w:i w:val="off"/>
        </w:rPr>
        <w:t>(2) Frais sur epargne geree et cotisation a la garantie plancher en cas de deces ; les frais sont exprimes en nombre d'unites de compte (UC) pour les supports en UC et en euros pour le support Securite libelle en euros.</w:t>
      </w:r>
    </w:p>
    <w:p>
      <w:pPr>
        <w:pageBreakBefore w:val="on"/>
      </w:pPr>
    </w:p>
    <w:p>
      <w:pPr>
        <w:spacing w:after="100"/>
        <w:jc w:val="left"/>
      </w:pPr>
      <w:r>
        <w:rPr>
          <w:b w:val="on"/>
          <w:sz w:val="40"/>
          <w:rFonts w:ascii="Arial" w:hAnsi="Arial" w:cs="Arial" w:eastAsia="Arial"/>
          <w:i w:val="off"/>
          <w:color w:val="E88C23"/>
        </w:rPr>
        <w:t>CARAC</w:t>
      </w:r>
    </w:p>
    <w:tbl>
      <w:tblPr>
        <w:tblW w:w="4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000"/>
      </w:tblGrid>
      <w:tr>
        <w:tc>
          <w:tcPr>
            <w:shd w:color="auto" w:val="clear" w:fill="E88C23"/>
          </w:tcPr>
          <w:p>
            <w:r>
              <w:rPr>
                <w:b w:val="on"/>
                <w:sz w:val="20"/>
                <w:rFonts w:ascii="Arial" w:hAnsi="Arial" w:cs="Arial" w:eastAsia="Arial"/>
                <w:color w:val="FFFFFF"/>
              </w:rPr>
              <w:t xml:space="preserve">  RELEVE DE COMPTE</w:t>
            </w:r>
          </w:p>
        </w:tc>
      </w:tr>
    </w:tbl>
    <w:p>
      <w:pPr>
        <w:spacing w:after="60"/>
        <w:jc w:val="left"/>
      </w:pPr>
      <w:r>
        <w:rPr>
          <w:b w:val="on"/>
          <w:sz w:val="20"/>
          <w:rFonts w:ascii="Arial" w:hAnsi="Arial" w:cs="Arial" w:eastAsia="Arial"/>
          <w:i w:val="off"/>
          <w:color w:val="E88C23"/>
        </w:rPr>
        <w:t xml:space="preserve">  REFERENCES A RAPPELER</w:t>
      </w:r>
    </w:p>
    <w:p>
      <w:pPr>
        <w:spacing w:after="20"/>
        <w:jc w:val="left"/>
      </w:pPr>
      <w:r>
        <w:rPr>
          <w:b w:val="on"/>
          <w:sz w:val="18"/>
          <w:rFonts w:ascii="Arial" w:hAnsi="Arial" w:cs="Arial" w:eastAsia="Arial"/>
          <w:i w:val="off"/>
        </w:rPr>
        <w:t xml:space="preserve">Entite : </w:t>
      </w:r>
      <w:r>
        <w:rPr>
          <w:b w:val="off"/>
          <w:sz w:val="18"/>
          <w:rFonts w:ascii="Arial" w:hAnsi="Arial" w:cs="Arial" w:eastAsia="Arial"/>
          <w:i w:val="off"/>
        </w:rPr>
        <w:t>Credit Cooperatif</w:t>
      </w:r>
    </w:p>
    <w:p>
      <w:pPr>
        <w:spacing w:after="20"/>
        <w:jc w:val="left"/>
      </w:pPr>
      <w:r>
        <w:rPr>
          <w:b w:val="on"/>
          <w:sz w:val="18"/>
          <w:rFonts w:ascii="Arial" w:hAnsi="Arial" w:cs="Arial" w:eastAsia="Arial"/>
          <w:i w:val="off"/>
        </w:rPr>
        <w:t xml:space="preserve">Adherent : </w:t>
      </w:r>
      <w:r>
        <w:rPr>
          <w:b w:val="off"/>
          <w:sz w:val="18"/>
          <w:rFonts w:ascii="Arial" w:hAnsi="Arial" w:cs="Arial" w:eastAsia="Arial"/>
          <w:i w:val="off"/>
        </w:rPr>
        <w:t>{{numeroAdherent}}</w:t>
      </w:r>
    </w:p>
    <w:p>
      <w:pPr>
        <w:spacing w:after="20"/>
        <w:jc w:val="left"/>
      </w:pPr>
      <w:r>
        <w:rPr>
          <w:b w:val="off"/>
          <w:sz w:val="18"/>
          <w:rFonts w:ascii="Arial" w:hAnsi="Arial" w:cs="Arial" w:eastAsia="Arial"/>
          <w:i w:val="off"/>
        </w:rPr>
        <w:t>{{civilite}} {{prenom}} {{nom}}</w:t>
      </w:r>
    </w:p>
    <w:p>
      <w:pPr>
        <w:spacing w:after="20"/>
        <w:jc w:val="left"/>
      </w:pPr>
      <w:r>
        <w:rPr>
          <w:b w:val="on"/>
          <w:sz w:val="18"/>
          <w:rFonts w:ascii="Arial" w:hAnsi="Arial" w:cs="Arial" w:eastAsia="Arial"/>
          <w:i w:val="off"/>
        </w:rPr>
        <w:t xml:space="preserve">Identifiant Client : </w:t>
      </w:r>
      <w:r>
        <w:rPr>
          <w:b w:val="off"/>
          <w:sz w:val="18"/>
          <w:rFonts w:ascii="Arial" w:hAnsi="Arial" w:cs="Arial" w:eastAsia="Arial"/>
          <w:i w:val="off"/>
        </w:rPr>
        <w:t>{{identifiantClient}}</w:t>
      </w:r>
    </w:p>
    <w:p>
      <w:pPr>
        <w:spacing w:after="20"/>
        <w:jc w:val="left"/>
      </w:pPr>
      <w:r>
        <w:rPr>
          <w:b w:val="on"/>
          <w:sz w:val="18"/>
          <w:rFonts w:ascii="Arial" w:hAnsi="Arial" w:cs="Arial" w:eastAsia="Arial"/>
          <w:i w:val="off"/>
        </w:rPr>
        <w:t xml:space="preserve">Contrat : </w:t>
      </w:r>
      <w:r>
        <w:rPr>
          <w:b w:val="off"/>
          <w:sz w:val="18"/>
          <w:rFonts w:ascii="Arial" w:hAnsi="Arial" w:cs="Arial" w:eastAsia="Arial"/>
          <w:i w:val="off"/>
        </w:rPr>
        <w:t>{{numeroContrat}}</w:t>
      </w:r>
    </w:p>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EVOLUTION DES VALEURS LIQUIDATIVES DES SUPPORTS EN UNITES DE COMPTE CALCULEE AU {{dateReleveCourt}}</w:t>
            </w:r>
          </w:p>
        </w:tc>
      </w:tr>
    </w:tbl>
    <w:p>
      <w:pPr>
        <w:spacing w:after="100"/>
      </w:pPr>
    </w:p>
    <w:p>
      <w:pPr>
        <w:spacing w:after="100"/>
        <w:jc w:val="both"/>
      </w:pPr>
      <w:r>
        <w:rPr>
          <w:b w:val="off"/>
          <w:sz w:val="18"/>
          <w:rFonts w:ascii="Arial" w:hAnsi="Arial" w:cs="Arial" w:eastAsia="Arial"/>
          <w:i w:val="off"/>
        </w:rPr>
        <w:t>Les performances des supports en unites de compte sont presentees a compter de leur commercialisation dans le cadre de votre contrat.</w:t>
      </w: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800"/>
        <w:gridCol w:w="1700"/>
        <w:gridCol w:w="1700"/>
        <w:gridCol w:w="1700"/>
        <w:gridCol w:w="1700"/>
      </w:tblGrid>
      <w:tr>
        <w:tc>
          <w:tcPr>
            <w:shd w:color="auto" w:val="clear" w:fill="E88C23"/>
          </w:tcPr>
          <w:p>
            <w:pPr>
              <w:spacing w:before="60" w:after="60"/>
              <w:jc w:val="center"/>
            </w:pPr>
            <w:r>
              <w:rPr>
                <w:b w:val="on"/>
                <w:sz w:val="18"/>
                <w:rFonts w:ascii="Arial" w:hAnsi="Arial" w:cs="Arial" w:eastAsia="Arial"/>
                <w:color w:val="FFFFFF"/>
              </w:rPr>
              <w:t>Support en unites de compte (UC)</w:t>
            </w:r>
          </w:p>
        </w:tc>
        <w:tc>
          <w:tcPr>
            <w:shd w:color="auto" w:val="clear" w:fill="E88C23"/>
          </w:tcPr>
          <w:p>
            <w:pPr>
              <w:spacing w:before="60" w:after="60"/>
              <w:jc w:val="center"/>
            </w:pPr>
            <w:r>
              <w:rPr>
                <w:b w:val="on"/>
                <w:sz w:val="18"/>
                <w:rFonts w:ascii="Arial" w:hAnsi="Arial" w:cs="Arial" w:eastAsia="Arial"/>
                <w:color w:val="FFFFFF"/>
              </w:rPr>
              <w:t>Evolution depuis la date d'effet du contrat*</w:t>
            </w:r>
          </w:p>
        </w:tc>
        <w:tc>
          <w:tcPr>
            <w:shd w:color="auto" w:val="clear" w:fill="E88C23"/>
          </w:tcPr>
          <w:p>
            <w:pPr>
              <w:spacing w:before="60" w:after="60"/>
              <w:jc w:val="center"/>
            </w:pPr>
            <w:r>
              <w:rPr>
                <w:b w:val="on"/>
                <w:sz w:val="18"/>
                <w:rFonts w:ascii="Arial" w:hAnsi="Arial" w:cs="Arial" w:eastAsia="Arial"/>
                <w:color w:val="FFFFFF"/>
              </w:rPr>
              <w:t>Evolution sur 1 an depuis le {{datePrecedente}}*</w:t>
            </w:r>
          </w:p>
        </w:tc>
        <w:tc>
          <w:tcPr>
            <w:shd w:color="auto" w:val="clear" w:fill="E88C23"/>
          </w:tcPr>
          <w:p>
            <w:pPr>
              <w:spacing w:before="60" w:after="60"/>
              <w:jc w:val="center"/>
            </w:pPr>
            <w:r>
              <w:rPr>
                <w:b w:val="on"/>
                <w:sz w:val="18"/>
                <w:rFonts w:ascii="Arial" w:hAnsi="Arial" w:cs="Arial" w:eastAsia="Arial"/>
                <w:color w:val="FFFFFF"/>
              </w:rPr>
              <w:t>Evolution sur 3 ans depuis le {{datePrecedente3ans}}*</w:t>
            </w:r>
          </w:p>
        </w:tc>
        <w:tc>
          <w:tcPr>
            <w:shd w:color="auto" w:val="clear" w:fill="E88C23"/>
          </w:tcPr>
          <w:p>
            <w:pPr>
              <w:spacing w:before="60" w:after="60"/>
              <w:jc w:val="center"/>
            </w:pPr>
            <w:r>
              <w:rPr>
                <w:b w:val="on"/>
                <w:sz w:val="18"/>
                <w:rFonts w:ascii="Arial" w:hAnsi="Arial" w:cs="Arial" w:eastAsia="Arial"/>
                <w:color w:val="FFFFFF"/>
              </w:rPr>
              <w:t>Evolution sur 5 ans depuis le {{datePrecedente5ans}}*</w:t>
            </w:r>
          </w:p>
        </w:tc>
      </w:tr>
      <w:tr>
        <w:tc>
          <w:p>
            <w:pPr>
              <w:spacing w:before="40" w:after="40"/>
              <w:jc w:val="left"/>
            </w:pPr>
            <w:r>
              <w:rPr>
                <w:b w:val="off"/>
                <w:sz w:val="18"/>
                <w:rFonts w:ascii="Arial" w:hAnsi="Arial" w:cs="Arial" w:eastAsia="Arial"/>
              </w:rPr>
              <w:t>{{#evolutionUC}}</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p>
      <w:pPr>
        <w:spacing w:after="40"/>
      </w:pPr>
    </w:p>
    <w:p>
      <w:pPr>
        <w:spacing w:after="100"/>
        <w:jc w:val="both"/>
      </w:pPr>
      <w:r>
        <w:rPr>
          <w:b w:val="off"/>
          <w:sz w:val="16"/>
          <w:rFonts w:ascii="Arial" w:hAnsi="Arial" w:cs="Arial" w:eastAsia="Arial"/>
          <w:i w:val="on"/>
        </w:rPr>
        <w:t>* Les performances sont calculees avant deduction de l'ensemble des frais.</w:t>
      </w:r>
    </w:p>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EVOLUTION DU SUPPORT SECURITE LIBELLE EN EUROS</w:t>
            </w:r>
          </w:p>
        </w:tc>
      </w:tr>
    </w:tbl>
    <w:p>
      <w:pPr>
        <w:spacing w:after="100"/>
      </w:pP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200"/>
        <w:gridCol w:w="1100"/>
        <w:gridCol w:w="1100"/>
        <w:gridCol w:w="900"/>
        <w:gridCol w:w="1300"/>
        <w:gridCol w:w="1500"/>
        <w:gridCol w:w="1500"/>
      </w:tblGrid>
      <w:tr>
        <w:tc>
          <w:tcPr>
            <w:shd w:color="auto" w:val="clear" w:fill="E88C23"/>
          </w:tcPr>
          <w:p>
            <w:pPr>
              <w:spacing w:before="60" w:after="60"/>
              <w:jc w:val="center"/>
            </w:pPr>
            <w:r>
              <w:rPr>
                <w:b w:val="on"/>
                <w:sz w:val="18"/>
                <w:rFonts w:ascii="Arial" w:hAnsi="Arial" w:cs="Arial" w:eastAsia="Arial"/>
                <w:color w:val="FFFFFF"/>
              </w:rPr>
              <w:t>Operation</w:t>
            </w:r>
          </w:p>
        </w:tc>
        <w:tc>
          <w:tcPr>
            <w:shd w:color="auto" w:val="clear" w:fill="E88C23"/>
          </w:tcPr>
          <w:p>
            <w:pPr>
              <w:spacing w:before="60" w:after="60"/>
              <w:jc w:val="center"/>
            </w:pPr>
            <w:r>
              <w:rPr>
                <w:b w:val="on"/>
                <w:sz w:val="18"/>
                <w:rFonts w:ascii="Arial" w:hAnsi="Arial" w:cs="Arial" w:eastAsia="Arial"/>
                <w:color w:val="FFFFFF"/>
              </w:rPr>
              <w:t>Date de l'operation</w:t>
            </w:r>
          </w:p>
        </w:tc>
        <w:tc>
          <w:tcPr>
            <w:shd w:color="auto" w:val="clear" w:fill="E88C23"/>
          </w:tcPr>
          <w:p>
            <w:pPr>
              <w:spacing w:before="60" w:after="60"/>
              <w:jc w:val="center"/>
            </w:pPr>
            <w:r>
              <w:rPr>
                <w:b w:val="on"/>
                <w:sz w:val="18"/>
                <w:rFonts w:ascii="Arial" w:hAnsi="Arial" w:cs="Arial" w:eastAsia="Arial"/>
                <w:color w:val="FFFFFF"/>
              </w:rPr>
              <w:t>Prise d'effet</w:t>
            </w:r>
          </w:p>
        </w:tc>
        <w:tc>
          <w:tcPr>
            <w:shd w:color="auto" w:val="clear" w:fill="E88C23"/>
          </w:tcPr>
          <w:p>
            <w:pPr>
              <w:spacing w:before="60" w:after="60"/>
              <w:jc w:val="center"/>
            </w:pPr>
            <w:r>
              <w:rPr>
                <w:b w:val="on"/>
                <w:sz w:val="18"/>
                <w:rFonts w:ascii="Arial" w:hAnsi="Arial" w:cs="Arial" w:eastAsia="Arial"/>
                <w:color w:val="FFFFFF"/>
              </w:rPr>
              <w:t>Taux</w:t>
            </w:r>
          </w:p>
        </w:tc>
        <w:tc>
          <w:tcPr>
            <w:shd w:color="auto" w:val="clear" w:fill="E88C23"/>
          </w:tcPr>
          <w:p>
            <w:pPr>
              <w:spacing w:before="60" w:after="60"/>
              <w:jc w:val="center"/>
            </w:pPr>
            <w:r>
              <w:rPr>
                <w:b w:val="on"/>
                <w:sz w:val="18"/>
                <w:rFonts w:ascii="Arial" w:hAnsi="Arial" w:cs="Arial" w:eastAsia="Arial"/>
                <w:color w:val="FFFFFF"/>
              </w:rPr>
              <w:t>Montant de l'operation</w:t>
            </w:r>
          </w:p>
        </w:tc>
        <w:tc>
          <w:tcPr>
            <w:shd w:color="auto" w:val="clear" w:fill="E88C23"/>
          </w:tcPr>
          <w:p>
            <w:pPr>
              <w:spacing w:before="60" w:after="60"/>
              <w:jc w:val="center"/>
            </w:pPr>
            <w:r>
              <w:rPr>
                <w:b w:val="on"/>
                <w:sz w:val="18"/>
                <w:rFonts w:ascii="Arial" w:hAnsi="Arial" w:cs="Arial" w:eastAsia="Arial"/>
                <w:color w:val="FFFFFF"/>
              </w:rPr>
              <w:t>Montant investi</w:t>
            </w:r>
          </w:p>
        </w:tc>
        <w:tc>
          <w:tcPr>
            <w:shd w:color="auto" w:val="clear" w:fill="E88C23"/>
          </w:tcPr>
          <w:p>
            <w:pPr>
              <w:spacing w:before="60" w:after="60"/>
              <w:jc w:val="center"/>
            </w:pPr>
            <w:r>
              <w:rPr>
                <w:b w:val="on"/>
                <w:sz w:val="18"/>
                <w:rFonts w:ascii="Arial" w:hAnsi="Arial" w:cs="Arial" w:eastAsia="Arial"/>
                <w:color w:val="FFFFFF"/>
              </w:rPr>
              <w:t>Montant desinvesti</w:t>
            </w:r>
          </w:p>
        </w:tc>
      </w:tr>
      <w:tr>
        <w:tc>
          <w:p>
            <w:pPr>
              <w:spacing w:before="40" w:after="40"/>
              <w:jc w:val="left"/>
            </w:pPr>
            <w:r>
              <w:rPr>
                <w:b w:val="off"/>
                <w:sz w:val="18"/>
                <w:rFonts w:ascii="Arial" w:hAnsi="Arial" w:cs="Arial" w:eastAsia="Arial"/>
              </w:rPr>
              <w:t>{{#evolutionSupportEuros}}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2200"/>
        <w:gridCol w:w="1100"/>
        <w:gridCol w:w="1100"/>
        <w:gridCol w:w="900"/>
        <w:gridCol w:w="1300"/>
        <w:gridCol w:w="1500"/>
        <w:gridCol w:w="1500"/>
      </w:tblGrid>
      <w:tr>
        <w:tc>
          <w:p>
            <w:pPr>
              <w:spacing w:before="40" w:after="40"/>
              <w:jc w:val="left"/>
            </w:pPr>
            <w:r>
              <w:rPr>
                <w:b w:val="on"/>
                <w:sz w:val="16"/>
                <w:rFonts w:ascii="Arial" w:hAnsi="Arial" w:cs="Arial" w:eastAsia="Arial"/>
              </w:rPr>
              <w:t>Total (Interets techniques, participation aux excedents, frais sur epargne geree, prelevements sociaux annuels, cotisation plancher)</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color w:val="E88C23"/>
              </w:rPr>
              <w:t>{{totalInteretsTechniquesInvestis}}</w:t>
            </w:r>
          </w:p>
        </w:tc>
        <w:tc>
          <w:p>
            <w:pPr>
              <w:spacing w:before="40" w:after="40"/>
              <w:jc w:val="right"/>
            </w:pPr>
            <w:r>
              <w:rPr>
                <w:b w:val="on"/>
                <w:sz w:val="18"/>
                <w:rFonts w:ascii="Arial" w:hAnsi="Arial" w:cs="Arial" w:eastAsia="Arial"/>
                <w:color w:val="E88C23"/>
              </w:rPr>
              <w:t>{{totalInteretsTechniquesDesinvestis}}</w:t>
            </w:r>
          </w:p>
        </w:tc>
      </w:tr>
    </w:tbl>
    <w:p>
      <w:pPr>
        <w:pageBreakBefore w:val="on"/>
      </w:pPr>
    </w:p>
    <w:p>
      <w:pPr>
        <w:spacing w:after="100"/>
        <w:jc w:val="both"/>
      </w:pPr>
      <w:r>
        <w:rPr>
          <w:b w:val="off"/>
          <w:sz w:val="18"/>
          <w:rFonts w:ascii="Arial" w:hAnsi="Arial" w:cs="Arial" w:eastAsia="Arial"/>
          <w:i w:val="off"/>
        </w:rPr>
        <w:t>Les prelevements sociaux correspondent a la contribution sociale generalisee (CSG), a la contribution au remboursement de la dette sociale (CRDS) et au prelevement de solidarite.</w:t>
      </w:r>
    </w:p>
    <w:p>
      <w:pPr>
        <w:spacing w:after="100"/>
        <w:jc w:val="both"/>
      </w:pPr>
      <w:r>
        <w:rPr>
          <w:b w:val="off"/>
          <w:sz w:val="18"/>
          <w:rFonts w:ascii="Arial" w:hAnsi="Arial" w:cs="Arial" w:eastAsia="Arial"/>
          <w:i w:val="off"/>
        </w:rPr>
        <w:t>En {{anneeCourante}}, le taux moyen de rendement des actifs detenus en representation des engagements au titre des garanties de meme categorie, tel que defini a l'article L223-21 du code de la mutualite, a ete de {{tauxMoyenRendement}}.</w:t>
      </w:r>
    </w:p>
    <w:p>
      <w:pPr>
        <w:spacing w:after="200"/>
        <w:jc w:val="both"/>
      </w:pPr>
      <w:r>
        <w:rPr>
          <w:b w:val="off"/>
          <w:sz w:val="18"/>
          <w:rFonts w:ascii="Arial" w:hAnsi="Arial" w:cs="Arial" w:eastAsia="Arial"/>
          <w:i w:val="off"/>
        </w:rPr>
        <w:t>En {{anneeProchaine}}, le taux de rendement minimum garanti est de {{tauxRendementMinGaranti}}.</w:t>
      </w: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NOMBRE D'UNITES DE COMPTE GARANTI AU TERME DE VOTRE CONTRAT</w:t>
            </w:r>
          </w:p>
        </w:tc>
      </w:tr>
    </w:tbl>
    <w:p>
      <w:pPr>
        <w:spacing w:after="100"/>
      </w:pP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3200"/>
        <w:gridCol w:w="3200"/>
        <w:gridCol w:w="3200"/>
      </w:tblGrid>
      <w:tr>
        <w:tc>
          <w:tcPr>
            <w:shd w:color="auto" w:val="clear" w:fill="E88C23"/>
          </w:tcPr>
          <w:p>
            <w:pPr>
              <w:spacing w:before="60" w:after="60"/>
              <w:jc w:val="center"/>
            </w:pPr>
            <w:r>
              <w:rPr>
                <w:b w:val="on"/>
                <w:sz w:val="18"/>
                <w:rFonts w:ascii="Arial" w:hAnsi="Arial" w:cs="Arial" w:eastAsia="Arial"/>
                <w:color w:val="FFFFFF"/>
              </w:rPr>
              <w:t>Support en unites de compte (UC)</w:t>
            </w:r>
          </w:p>
        </w:tc>
        <w:tc>
          <w:tcPr>
            <w:shd w:color="auto" w:val="clear" w:fill="E88C23"/>
          </w:tcPr>
          <w:p>
            <w:pPr>
              <w:spacing w:before="60" w:after="60"/>
              <w:jc w:val="center"/>
            </w:pPr>
            <w:r>
              <w:rPr>
                <w:b w:val="on"/>
                <w:sz w:val="18"/>
                <w:rFonts w:ascii="Arial" w:hAnsi="Arial" w:cs="Arial" w:eastAsia="Arial"/>
                <w:color w:val="FFFFFF"/>
              </w:rPr>
              <w:t>Nombre d'unites de compte garanti au {{dateGarantie}} par support</w:t>
            </w:r>
          </w:p>
        </w:tc>
        <w:tc>
          <w:tcPr>
            <w:shd w:color="auto" w:val="clear" w:fill="E88C23"/>
          </w:tcPr>
          <w:p>
            <w:pPr>
              <w:spacing w:before="60" w:after="60"/>
              <w:jc w:val="center"/>
            </w:pPr>
            <w:r>
              <w:rPr>
                <w:b w:val="on"/>
                <w:sz w:val="18"/>
                <w:rFonts w:ascii="Arial" w:hAnsi="Arial" w:cs="Arial" w:eastAsia="Arial"/>
                <w:color w:val="FFFFFF"/>
              </w:rPr>
              <w:t>Frais preleves par le FCP sur une annee**</w:t>
            </w:r>
          </w:p>
        </w:tc>
      </w:tr>
      <w:tr>
        <w:tc>
          <w:p>
            <w:pPr>
              <w:spacing w:before="40" w:after="40"/>
              <w:jc w:val="left"/>
            </w:pPr>
            <w:r>
              <w:rPr>
                <w:b w:val="off"/>
                <w:sz w:val="18"/>
                <w:rFonts w:ascii="Arial" w:hAnsi="Arial" w:cs="Arial" w:eastAsia="Arial"/>
              </w:rPr>
              <w:t>{{#nbUCGaranti}}</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p>
      <w:pPr>
        <w:spacing w:after="40"/>
      </w:pPr>
    </w:p>
    <w:p>
      <w:pPr>
        <w:spacing w:after="100"/>
        <w:jc w:val="both"/>
      </w:pPr>
      <w:r>
        <w:rPr>
          <w:b w:val="off"/>
          <w:sz w:val="14"/>
          <w:rFonts w:ascii="Arial" w:hAnsi="Arial" w:cs="Arial" w:eastAsia="Arial"/>
          <w:i w:val="off"/>
        </w:rPr>
        <w:t>** Les performances annuelles sont calculees apres deduction de tous les frais preleves par le FCP et les couts lies a l'achat d'autres OPC et fonds d'investissements.</w:t>
      </w:r>
    </w:p>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CAPITAL GARANTI AU TERME DE VOTRE CONTRAT</w:t>
            </w:r>
          </w:p>
        </w:tc>
      </w:tr>
    </w:tbl>
    <w:p>
      <w:pPr>
        <w:spacing w:after="100"/>
      </w:pPr>
    </w:p>
    <w:p>
      <w:pPr>
        <w:spacing w:after="60"/>
        <w:jc w:val="left"/>
      </w:pPr>
      <w:r>
        <w:rPr>
          <w:b w:val="on"/>
          <w:sz w:val="20"/>
          <w:rFonts w:ascii="Arial" w:hAnsi="Arial" w:cs="Arial" w:eastAsia="Arial"/>
          <w:i w:val="off"/>
          <w:u w:val="single"/>
        </w:rPr>
        <w:t>Support Securite libelle en euros :</w:t>
      </w:r>
    </w:p>
    <w:p>
      <w:pPr>
        <w:spacing w:after="100"/>
        <w:jc w:val="both"/>
      </w:pPr>
      <w:r>
        <w:rPr>
          <w:b w:val="off"/>
          <w:sz w:val="18"/>
          <w:rFonts w:ascii="Arial" w:hAnsi="Arial" w:cs="Arial" w:eastAsia="Arial"/>
          <w:i w:val="off"/>
        </w:rPr>
        <w:t>Montant garanti sur le support Securite libelle en euros au {{dateGarantie}} : {{montantGarantiEuros}}</w:t>
      </w:r>
    </w:p>
    <w:p>
      <w:pPr>
        <w:spacing w:after="200"/>
        <w:jc w:val="both"/>
      </w:pPr>
      <w:r>
        <w:rPr>
          <w:b w:val="off"/>
          <w:sz w:val="18"/>
          <w:rFonts w:ascii="Arial" w:hAnsi="Arial" w:cs="Arial" w:eastAsia="Arial"/>
          <w:i w:val="off"/>
        </w:rPr>
        <w:t>Ce montant ne tient pas compte des operations en cours ou a venir et des prelevements au titre de la garantie plancher en cas de deces. A ce montant pourront s'ajouter les participations aux excedents nettes de frais sur epargne geree telles que definies dans le reglement mutualiste de votre contrat.</w:t>
      </w: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VERSEMENTS BRUTS NON RACHETES</w:t>
            </w:r>
          </w:p>
        </w:tc>
      </w:tr>
    </w:tbl>
    <w:p>
      <w:pPr>
        <w:spacing w:after="100"/>
      </w:pPr>
    </w:p>
    <w:p>
      <w:pPr>
        <w:spacing w:after="60"/>
        <w:jc w:val="left"/>
      </w:pPr>
      <w:r>
        <w:rPr>
          <w:b w:val="off"/>
          <w:sz w:val="18"/>
          <w:rFonts w:ascii="Arial" w:hAnsi="Arial" w:cs="Arial" w:eastAsia="Arial"/>
          <w:i w:val="off"/>
        </w:rPr>
        <w:t>Cumul des versements bruts non rachetes au {{datePrecedente}} : {{cumulVersementsBrutsPrecedent}}</w:t>
      </w:r>
    </w:p>
    <w:p>
      <w:pPr>
        <w:spacing w:after="200"/>
        <w:jc w:val="left"/>
      </w:pPr>
      <w:r>
        <w:rPr>
          <w:b w:val="off"/>
          <w:sz w:val="18"/>
          <w:rFonts w:ascii="Arial" w:hAnsi="Arial" w:cs="Arial" w:eastAsia="Arial"/>
          <w:i w:val="off"/>
        </w:rPr>
        <w:t>Cumul des versements bruts non rachetes au {{dateCourante}} : {{cumulVersementsBrutsCourant}}</w:t>
      </w: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SYNTHESE DES FRAIS DE TOUTE NATURE PRELEVES SUR VOTRE CONTRAT EN {{anneeCourante}}</w:t>
            </w:r>
          </w:p>
        </w:tc>
      </w:tr>
    </w:tbl>
    <w:p>
      <w:pPr>
        <w:spacing w:after="100"/>
      </w:pPr>
    </w:p>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5200"/>
        <w:gridCol w:w="2200"/>
        <w:gridCol w:w="2200"/>
      </w:tblGrid>
      <w:tr>
        <w:tc>
          <w:tcPr>
            <w:shd w:color="auto" w:val="clear" w:fill="E88C23"/>
          </w:tcPr>
          <w:p>
            <w:pPr>
              <w:spacing w:before="60" w:after="60"/>
              <w:jc w:val="center"/>
            </w:pPr>
            <w:r>
              <w:rPr>
                <w:b w:val="on"/>
                <w:sz w:val="18"/>
                <w:rFonts w:ascii="Arial" w:hAnsi="Arial" w:cs="Arial" w:eastAsia="Arial"/>
                <w:color w:val="FFFFFF"/>
              </w:rPr>
              <w:t>Nature des frais</w:t>
            </w:r>
          </w:p>
        </w:tc>
        <w:tc>
          <w:tcPr>
            <w:shd w:color="auto" w:val="clear" w:fill="E88C23"/>
          </w:tcPr>
          <w:p>
            <w:pPr>
              <w:spacing w:before="60" w:after="60"/>
              <w:jc w:val="center"/>
            </w:pPr>
            <w:r>
              <w:rPr>
                <w:b w:val="on"/>
                <w:sz w:val="18"/>
                <w:rFonts w:ascii="Arial" w:hAnsi="Arial" w:cs="Arial" w:eastAsia="Arial"/>
                <w:color w:val="FFFFFF"/>
              </w:rPr>
              <w:t>Taux</w:t>
            </w:r>
          </w:p>
        </w:tc>
        <w:tc>
          <w:tcPr>
            <w:shd w:color="auto" w:val="clear" w:fill="E88C23"/>
          </w:tcPr>
          <w:p>
            <w:pPr>
              <w:spacing w:before="60" w:after="60"/>
              <w:jc w:val="center"/>
            </w:pPr>
            <w:r>
              <w:rPr>
                <w:b w:val="on"/>
                <w:sz w:val="18"/>
                <w:rFonts w:ascii="Arial" w:hAnsi="Arial" w:cs="Arial" w:eastAsia="Arial"/>
                <w:color w:val="FFFFFF"/>
              </w:rPr>
              <w:t>Montant</w:t>
            </w:r>
          </w:p>
        </w:tc>
      </w:tr>
      <w:tr>
        <w:tc>
          <w:p>
            <w:pPr>
              <w:spacing w:before="40" w:after="40"/>
              <w:jc w:val="left"/>
            </w:pPr>
            <w:r>
              <w:rPr>
                <w:b w:val="off"/>
                <w:sz w:val="18"/>
                <w:rFonts w:ascii="Arial" w:hAnsi="Arial" w:cs="Arial" w:eastAsia="Arial"/>
              </w:rPr>
              <w:t>{{#syntheseFrais}}</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tbl>
      <w:tblPr>
        <w:tblW w:w="9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5200"/>
        <w:gridCol w:w="2200"/>
        <w:gridCol w:w="2200"/>
      </w:tblGrid>
      <w:tr>
        <w:tc>
          <w:p>
            <w:pPr>
              <w:spacing w:before="40" w:after="40"/>
              <w:jc w:val="left"/>
            </w:pPr>
            <w:r>
              <w:rPr>
                <w:b w:val="on"/>
                <w:sz w:val="18"/>
                <w:rFonts w:ascii="Arial" w:hAnsi="Arial" w:cs="Arial" w:eastAsia="Arial"/>
              </w:rPr>
              <w:t>Totalite des frais preleves en {{anneeCourante}}</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rPr>
              <w:t>{{totalFraisPrelevesAnnee}}</w:t>
            </w:r>
          </w:p>
        </w:tc>
      </w:tr>
    </w:tbl>
    <w:p>
      <w:pPr>
        <w:pageBreakBefore w:val="on"/>
      </w:pPr>
    </w:p>
    <w:p>
      <w:pPr>
        <w:spacing w:after="100"/>
        <w:jc w:val="left"/>
      </w:pPr>
      <w:r>
        <w:rPr>
          <w:b w:val="on"/>
          <w:sz w:val="40"/>
          <w:rFonts w:ascii="Arial" w:hAnsi="Arial" w:cs="Arial" w:eastAsia="Arial"/>
          <w:i w:val="off"/>
          <w:color w:val="E88C23"/>
        </w:rPr>
        <w:t>CARAC</w:t>
      </w:r>
    </w:p>
    <w:tbl>
      <w:tblPr>
        <w:tblW w:w="4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000"/>
      </w:tblGrid>
      <w:tr>
        <w:tc>
          <w:tcPr>
            <w:shd w:color="auto" w:val="clear" w:fill="E88C23"/>
          </w:tcPr>
          <w:p>
            <w:r>
              <w:rPr>
                <w:b w:val="on"/>
                <w:sz w:val="20"/>
                <w:rFonts w:ascii="Arial" w:hAnsi="Arial" w:cs="Arial" w:eastAsia="Arial"/>
                <w:color w:val="FFFFFF"/>
              </w:rPr>
              <w:t xml:space="preserve">  RELEVE DE COMPTE</w:t>
            </w:r>
          </w:p>
        </w:tc>
      </w:tr>
    </w:tbl>
    <w:p>
      <w:pPr>
        <w:spacing w:after="60"/>
        <w:jc w:val="left"/>
      </w:pPr>
      <w:r>
        <w:rPr>
          <w:b w:val="on"/>
          <w:sz w:val="20"/>
          <w:rFonts w:ascii="Arial" w:hAnsi="Arial" w:cs="Arial" w:eastAsia="Arial"/>
          <w:i w:val="off"/>
          <w:color w:val="E88C23"/>
        </w:rPr>
        <w:t xml:space="preserve">  REFERENCES A RAPPELER</w:t>
      </w:r>
    </w:p>
    <w:p>
      <w:pPr>
        <w:spacing w:after="20"/>
        <w:jc w:val="left"/>
      </w:pPr>
      <w:r>
        <w:rPr>
          <w:b w:val="on"/>
          <w:sz w:val="18"/>
          <w:rFonts w:ascii="Arial" w:hAnsi="Arial" w:cs="Arial" w:eastAsia="Arial"/>
          <w:i w:val="off"/>
        </w:rPr>
        <w:t xml:space="preserve">Entite : </w:t>
      </w:r>
      <w:r>
        <w:rPr>
          <w:b w:val="off"/>
          <w:sz w:val="18"/>
          <w:rFonts w:ascii="Arial" w:hAnsi="Arial" w:cs="Arial" w:eastAsia="Arial"/>
          <w:i w:val="off"/>
        </w:rPr>
        <w:t>Credit Cooperatif</w:t>
      </w:r>
    </w:p>
    <w:p>
      <w:pPr>
        <w:spacing w:after="20"/>
        <w:jc w:val="left"/>
      </w:pPr>
      <w:r>
        <w:rPr>
          <w:b w:val="on"/>
          <w:sz w:val="18"/>
          <w:rFonts w:ascii="Arial" w:hAnsi="Arial" w:cs="Arial" w:eastAsia="Arial"/>
          <w:i w:val="off"/>
        </w:rPr>
        <w:t xml:space="preserve">Adherent : </w:t>
      </w:r>
      <w:r>
        <w:rPr>
          <w:b w:val="off"/>
          <w:sz w:val="18"/>
          <w:rFonts w:ascii="Arial" w:hAnsi="Arial" w:cs="Arial" w:eastAsia="Arial"/>
          <w:i w:val="off"/>
        </w:rPr>
        <w:t>{{numeroAdherent}}</w:t>
      </w:r>
    </w:p>
    <w:p>
      <w:pPr>
        <w:spacing w:after="20"/>
        <w:jc w:val="left"/>
      </w:pPr>
      <w:r>
        <w:rPr>
          <w:b w:val="off"/>
          <w:sz w:val="18"/>
          <w:rFonts w:ascii="Arial" w:hAnsi="Arial" w:cs="Arial" w:eastAsia="Arial"/>
          <w:i w:val="off"/>
        </w:rPr>
        <w:t>{{civilite}} {{prenom}} {{nom}}</w:t>
      </w:r>
    </w:p>
    <w:p>
      <w:pPr>
        <w:spacing w:after="20"/>
        <w:jc w:val="left"/>
      </w:pPr>
      <w:r>
        <w:rPr>
          <w:b w:val="on"/>
          <w:sz w:val="18"/>
          <w:rFonts w:ascii="Arial" w:hAnsi="Arial" w:cs="Arial" w:eastAsia="Arial"/>
          <w:i w:val="off"/>
        </w:rPr>
        <w:t xml:space="preserve">Identifiant Client : </w:t>
      </w:r>
      <w:r>
        <w:rPr>
          <w:b w:val="off"/>
          <w:sz w:val="18"/>
          <w:rFonts w:ascii="Arial" w:hAnsi="Arial" w:cs="Arial" w:eastAsia="Arial"/>
          <w:i w:val="off"/>
        </w:rPr>
        <w:t>{{identifiantClient}}</w:t>
      </w:r>
    </w:p>
    <w:p>
      <w:pPr>
        <w:spacing w:after="20"/>
        <w:jc w:val="left"/>
      </w:pPr>
      <w:r>
        <w:rPr>
          <w:b w:val="on"/>
          <w:sz w:val="18"/>
          <w:rFonts w:ascii="Arial" w:hAnsi="Arial" w:cs="Arial" w:eastAsia="Arial"/>
          <w:i w:val="off"/>
        </w:rPr>
        <w:t xml:space="preserve">Contrat : </w:t>
      </w:r>
      <w:r>
        <w:rPr>
          <w:b w:val="off"/>
          <w:sz w:val="18"/>
          <w:rFonts w:ascii="Arial" w:hAnsi="Arial" w:cs="Arial" w:eastAsia="Arial"/>
          <w:i w:val="off"/>
        </w:rPr>
        <w:t>{{numeroContrat}}</w:t>
      </w:r>
    </w:p>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DETAIL DES FRAIS PAR UNITE DE COMPTE AU {{dateReleveCourt}}</w:t>
            </w:r>
          </w:p>
        </w:tc>
      </w:tr>
    </w:tbl>
    <w:p>
      <w:pPr>
        <w:spacing w:after="100"/>
      </w:pPr>
    </w:p>
    <w:tbl>
      <w:tblPr>
        <w:tblW w:w="8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1600"/>
        <w:gridCol w:w="1300"/>
        <w:gridCol w:w="1500"/>
        <w:gridCol w:w="1600"/>
        <w:gridCol w:w="1500"/>
        <w:gridCol w:w="1100"/>
      </w:tblGrid>
      <w:tr>
        <w:tc>
          <w:tcPr>
            <w:shd w:color="auto" w:val="clear" w:fill="E88C23"/>
          </w:tcPr>
          <w:p>
            <w:pPr>
              <w:spacing w:before="40" w:after="40"/>
              <w:jc w:val="left"/>
            </w:pPr>
            <w:r>
              <w:rPr>
                <w:b w:val="on"/>
                <w:sz w:val="16"/>
                <w:rFonts w:ascii="Arial" w:hAnsi="Arial" w:cs="Arial" w:eastAsia="Arial"/>
                <w:color w:val="FFFFFF"/>
              </w:rPr>
              <w:t>Support en unites de compte (UC)</w:t>
            </w:r>
          </w:p>
        </w:tc>
        <w:tc>
          <w:tcPr>
            <w:shd w:color="auto" w:val="clear" w:fill="E88C23"/>
          </w:tcPr>
          <w:p>
            <w:pPr>
              <w:spacing w:before="40" w:after="40"/>
              <w:jc w:val="center"/>
            </w:pPr>
            <w:r>
              <w:rPr>
                <w:b w:val="on"/>
                <w:sz w:val="16"/>
                <w:rFonts w:ascii="Arial" w:hAnsi="Arial" w:cs="Arial" w:eastAsia="Arial"/>
                <w:color w:val="FFFFFF"/>
              </w:rPr>
              <w:t>Frais de gestion appliques sur l'epargne en compte</w:t>
            </w:r>
          </w:p>
        </w:tc>
        <w:tc>
          <w:tcPr>
            <w:shd w:color="auto" w:val="clear" w:fill="E88C23"/>
          </w:tcPr>
          <w:p>
            <w:pPr>
              <w:spacing w:before="40" w:after="40"/>
              <w:jc w:val="left"/>
            </w:pPr>
            <w:r>
              <w:rPr>
                <w:b w:val="off"/>
                <w:sz w:val="18"/>
                <w:rFonts w:ascii="Arial" w:hAnsi="Arial" w:cs="Arial" w:eastAsia="Arial"/>
              </w:rPr>
              <w:t/>
            </w:r>
          </w:p>
        </w:tc>
        <w:tc>
          <w:tcPr>
            <w:shd w:color="auto" w:val="clear" w:fill="E88C23"/>
          </w:tcPr>
          <w:p>
            <w:pPr>
              <w:spacing w:before="40" w:after="40"/>
              <w:jc w:val="center"/>
            </w:pPr>
            <w:r>
              <w:rPr>
                <w:b w:val="on"/>
                <w:sz w:val="16"/>
                <w:rFonts w:ascii="Arial" w:hAnsi="Arial" w:cs="Arial" w:eastAsia="Arial"/>
                <w:color w:val="FFFFFF"/>
              </w:rPr>
              <w:t>Frais financiers (quotite de retrocession incluse)</w:t>
            </w:r>
          </w:p>
        </w:tc>
        <w:tc>
          <w:tcPr>
            <w:shd w:color="auto" w:val="clear" w:fill="E88C23"/>
          </w:tcPr>
          <w:p>
            <w:pPr>
              <w:spacing w:before="40" w:after="40"/>
              <w:jc w:val="left"/>
            </w:pPr>
            <w:r>
              <w:rPr>
                <w:b w:val="off"/>
                <w:sz w:val="18"/>
                <w:rFonts w:ascii="Arial" w:hAnsi="Arial" w:cs="Arial" w:eastAsia="Arial"/>
              </w:rPr>
              <w:t/>
            </w:r>
          </w:p>
        </w:tc>
        <w:tc>
          <w:tcPr>
            <w:shd w:color="auto" w:val="clear" w:fill="E88C23"/>
          </w:tcPr>
          <w:p>
            <w:pPr>
              <w:spacing w:before="40" w:after="40"/>
              <w:jc w:val="center"/>
            </w:pPr>
            <w:r>
              <w:rPr>
                <w:b w:val="on"/>
                <w:sz w:val="16"/>
                <w:rFonts w:ascii="Arial" w:hAnsi="Arial" w:cs="Arial" w:eastAsia="Arial"/>
                <w:color w:val="FFFFFF"/>
              </w:rPr>
              <w:t>Total</w:t>
            </w:r>
          </w:p>
        </w:tc>
      </w:tr>
      <w:tr>
        <w:tc>
          <w:tcPr>
            <w:shd w:color="auto" w:val="clear" w:fill="FDF2E9"/>
          </w:tcPr>
          <w:p>
            <w:pPr>
              <w:spacing w:before="40" w:after="40"/>
              <w:jc w:val="left"/>
            </w:pPr>
            <w:r>
              <w:rPr>
                <w:b w:val="off"/>
                <w:sz w:val="18"/>
                <w:rFonts w:ascii="Arial" w:hAnsi="Arial" w:cs="Arial" w:eastAsia="Arial"/>
              </w:rPr>
              <w:t/>
            </w:r>
          </w:p>
        </w:tc>
        <w:tc>
          <w:tcPr>
            <w:shd w:color="auto" w:val="clear" w:fill="FDF2E9"/>
          </w:tcPr>
          <w:p>
            <w:pPr>
              <w:spacing w:before="40" w:after="40"/>
              <w:jc w:val="center"/>
            </w:pPr>
            <w:r>
              <w:rPr>
                <w:b w:val="on"/>
                <w:sz w:val="16"/>
                <w:rFonts w:ascii="Arial" w:hAnsi="Arial" w:cs="Arial" w:eastAsia="Arial"/>
              </w:rPr>
              <w:t>Taux</w:t>
            </w:r>
          </w:p>
        </w:tc>
        <w:tc>
          <w:tcPr>
            <w:shd w:color="auto" w:val="clear" w:fill="FDF2E9"/>
          </w:tcPr>
          <w:p>
            <w:pPr>
              <w:spacing w:before="40" w:after="40"/>
              <w:jc w:val="center"/>
            </w:pPr>
            <w:r>
              <w:rPr>
                <w:b w:val="on"/>
                <w:sz w:val="16"/>
                <w:rFonts w:ascii="Arial" w:hAnsi="Arial" w:cs="Arial" w:eastAsia="Arial"/>
              </w:rPr>
              <w:t>Montant</w:t>
            </w:r>
          </w:p>
        </w:tc>
        <w:tc>
          <w:tcPr>
            <w:shd w:color="auto" w:val="clear" w:fill="FDF2E9"/>
          </w:tcPr>
          <w:p>
            <w:pPr>
              <w:spacing w:before="40" w:after="40"/>
              <w:jc w:val="center"/>
            </w:pPr>
            <w:r>
              <w:rPr>
                <w:b w:val="on"/>
                <w:sz w:val="16"/>
                <w:rFonts w:ascii="Arial" w:hAnsi="Arial" w:cs="Arial" w:eastAsia="Arial"/>
              </w:rPr>
              <w:t>Taux</w:t>
            </w:r>
          </w:p>
        </w:tc>
        <w:tc>
          <w:tcPr>
            <w:shd w:color="auto" w:val="clear" w:fill="FDF2E9"/>
          </w:tcPr>
          <w:p>
            <w:pPr>
              <w:spacing w:before="40" w:after="40"/>
              <w:jc w:val="center"/>
            </w:pPr>
            <w:r>
              <w:rPr>
                <w:b w:val="on"/>
                <w:sz w:val="16"/>
                <w:rFonts w:ascii="Arial" w:hAnsi="Arial" w:cs="Arial" w:eastAsia="Arial"/>
              </w:rPr>
              <w:t>Montant</w:t>
            </w:r>
          </w:p>
        </w:tc>
        <w:tc>
          <w:tcPr>
            <w:shd w:color="auto" w:val="clear" w:fill="FDF2E9"/>
          </w:tcPr>
          <w:p>
            <w:pPr>
              <w:spacing w:before="40" w:after="40"/>
              <w:jc w:val="left"/>
            </w:pPr>
            <w:r>
              <w:rPr>
                <w:b w:val="off"/>
                <w:sz w:val="18"/>
                <w:rFonts w:ascii="Arial" w:hAnsi="Arial" w:cs="Arial" w:eastAsia="Arial"/>
              </w:rPr>
              <w:t/>
            </w:r>
          </w:p>
        </w:tc>
      </w:tr>
      <w:tr>
        <w:tc>
          <w:p>
            <w:pPr>
              <w:spacing w:before="40" w:after="40"/>
              <w:jc w:val="left"/>
            </w:pPr>
            <w:r>
              <w:rPr>
                <w:b w:val="off"/>
                <w:sz w:val="18"/>
                <w:rFonts w:ascii="Arial" w:hAnsi="Arial" w:cs="Arial" w:eastAsia="Arial"/>
              </w:rPr>
              <w:t>{{#detailFraisUC}}</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left"/>
            </w:pPr>
            <w:r>
              <w:rPr>
                <w:b w:val="off"/>
                <w:sz w:val="18"/>
                <w:rFonts w:ascii="Arial" w:hAnsi="Arial" w:cs="Arial" w:eastAsia="Arial"/>
              </w:rPr>
              <w:t/>
            </w:r>
          </w:p>
        </w:tc>
      </w:tr>
    </w:tbl>
    <w:tbl>
      <w:tblPr>
        <w:tblW w:w="86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1600"/>
        <w:gridCol w:w="1300"/>
        <w:gridCol w:w="1500"/>
        <w:gridCol w:w="1600"/>
        <w:gridCol w:w="1500"/>
        <w:gridCol w:w="1100"/>
      </w:tblGrid>
      <w:tr>
        <w:tc>
          <w:p>
            <w:pPr>
              <w:spacing w:before="40" w:after="40"/>
              <w:jc w:val="left"/>
            </w:pPr>
            <w:r>
              <w:rPr>
                <w:b w:val="on"/>
                <w:sz w:val="18"/>
                <w:rFonts w:ascii="Arial" w:hAnsi="Arial" w:cs="Arial" w:eastAsia="Arial"/>
              </w:rPr>
              <w:t>Total</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rPr>
              <w:t/>
            </w:r>
          </w:p>
        </w:tc>
        <w:tc>
          <w:p>
            <w:pPr>
              <w:spacing w:before="40" w:after="40"/>
              <w:jc w:val="left"/>
            </w:pPr>
            <w:r>
              <w:rPr>
                <w:b w:val="off"/>
                <w:sz w:val="18"/>
                <w:rFonts w:ascii="Arial" w:hAnsi="Arial" w:cs="Arial" w:eastAsia="Arial"/>
              </w:rPr>
              <w:t/>
            </w:r>
          </w:p>
        </w:tc>
        <w:tc>
          <w:p>
            <w:pPr>
              <w:spacing w:before="40" w:after="40"/>
              <w:jc w:val="right"/>
            </w:pPr>
            <w:r>
              <w:rPr>
                <w:b w:val="on"/>
                <w:sz w:val="18"/>
                <w:rFonts w:ascii="Arial" w:hAnsi="Arial" w:cs="Arial" w:eastAsia="Arial"/>
              </w:rPr>
              <w:t/>
            </w:r>
          </w:p>
        </w:tc>
        <w:tc>
          <w:p>
            <w:pPr>
              <w:spacing w:before="40" w:after="40"/>
              <w:jc w:val="right"/>
            </w:pPr>
            <w:r>
              <w:rPr>
                <w:b w:val="on"/>
                <w:sz w:val="18"/>
                <w:rFonts w:ascii="Arial" w:hAnsi="Arial" w:cs="Arial" w:eastAsia="Arial"/>
              </w:rPr>
              <w:t/>
            </w:r>
          </w:p>
        </w:tc>
      </w:tr>
    </w:tbl>
    <w:p>
      <w:pPr>
        <w:spacing w:after="200"/>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RELEVE SUR LES ACTIFS FINANCIERS DU CONTRAT AU {{dateReleveCourt}}</w:t>
            </w:r>
          </w:p>
        </w:tc>
      </w:tr>
    </w:tbl>
    <w:p>
      <w:pPr>
        <w:spacing w:after="100"/>
      </w:pPr>
    </w:p>
    <w:tbl>
      <w:tblPr>
        <w:tblW w:w="910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Pr>
      <w:tblGrid>
        <w:gridCol w:w="1000"/>
        <w:gridCol w:w="1100"/>
        <w:gridCol w:w="350"/>
        <w:gridCol w:w="700"/>
        <w:gridCol w:w="700"/>
        <w:gridCol w:w="900"/>
        <w:gridCol w:w="700"/>
        <w:gridCol w:w="700"/>
        <w:gridCol w:w="650"/>
        <w:gridCol w:w="900"/>
        <w:gridCol w:w="700"/>
        <w:gridCol w:w="700"/>
      </w:tblGrid>
      <w:tr>
        <w:tc>
          <w:tcPr>
            <w:shd w:color="auto" w:val="clear" w:fill="E88C23"/>
          </w:tcPr>
          <w:p>
            <w:pPr>
              <w:spacing w:before="60" w:after="60"/>
              <w:jc w:val="center"/>
            </w:pPr>
            <w:r>
              <w:rPr>
                <w:b w:val="on"/>
                <w:sz w:val="14"/>
                <w:rFonts w:ascii="Arial" w:hAnsi="Arial" w:cs="Arial" w:eastAsia="Arial"/>
                <w:color w:val="FFFFFF"/>
              </w:rPr>
              <w:t>Code ISIN</w:t>
            </w:r>
          </w:p>
        </w:tc>
        <w:tc>
          <w:tcPr>
            <w:shd w:color="auto" w:val="clear" w:fill="E88C23"/>
          </w:tcPr>
          <w:p>
            <w:pPr>
              <w:spacing w:before="60" w:after="60"/>
              <w:jc w:val="center"/>
            </w:pPr>
            <w:r>
              <w:rPr>
                <w:b w:val="on"/>
                <w:sz w:val="14"/>
                <w:rFonts w:ascii="Arial" w:hAnsi="Arial" w:cs="Arial" w:eastAsia="Arial"/>
                <w:color w:val="FFFFFF"/>
              </w:rPr>
              <w:t>Libelle</w:t>
            </w:r>
          </w:p>
        </w:tc>
        <w:tc>
          <w:tcPr>
            <w:shd w:color="auto" w:val="clear" w:fill="E88C23"/>
          </w:tcPr>
          <w:p>
            <w:pPr>
              <w:spacing w:before="60" w:after="60"/>
              <w:jc w:val="center"/>
            </w:pPr>
            <w:r>
              <w:rPr>
                <w:b w:val="on"/>
                <w:sz w:val="14"/>
                <w:rFonts w:ascii="Arial" w:hAnsi="Arial" w:cs="Arial" w:eastAsia="Arial"/>
                <w:color w:val="FFFFFF"/>
              </w:rPr>
              <w:t>SRI</w:t>
            </w:r>
          </w:p>
        </w:tc>
        <w:tc>
          <w:tcPr>
            <w:shd w:color="auto" w:val="clear" w:fill="E88C23"/>
          </w:tcPr>
          <w:p>
            <w:pPr>
              <w:spacing w:before="60" w:after="60"/>
              <w:jc w:val="center"/>
            </w:pPr>
            <w:r>
              <w:rPr>
                <w:b w:val="on"/>
                <w:sz w:val="14"/>
                <w:rFonts w:ascii="Arial" w:hAnsi="Arial" w:cs="Arial" w:eastAsia="Arial"/>
                <w:color w:val="FFFFFF"/>
              </w:rPr>
              <w:t>Perf brute N-1</w:t>
            </w:r>
          </w:p>
        </w:tc>
        <w:tc>
          <w:tcPr>
            <w:shd w:color="auto" w:val="clear" w:fill="E88C23"/>
          </w:tcPr>
          <w:p>
            <w:pPr>
              <w:spacing w:before="60" w:after="60"/>
              <w:jc w:val="center"/>
            </w:pPr>
            <w:r>
              <w:rPr>
                <w:b w:val="on"/>
                <w:sz w:val="14"/>
                <w:rFonts w:ascii="Arial" w:hAnsi="Arial" w:cs="Arial" w:eastAsia="Arial"/>
                <w:color w:val="FFFFFF"/>
              </w:rPr>
              <w:t>Perf brute 5a</w:t>
            </w:r>
          </w:p>
        </w:tc>
        <w:tc>
          <w:tcPr>
            <w:shd w:color="auto" w:val="clear" w:fill="E88C23"/>
          </w:tcPr>
          <w:p>
            <w:pPr>
              <w:spacing w:before="60" w:after="60"/>
              <w:jc w:val="center"/>
            </w:pPr>
            <w:r>
              <w:rPr>
                <w:b w:val="on"/>
                <w:sz w:val="14"/>
                <w:rFonts w:ascii="Arial" w:hAnsi="Arial" w:cs="Arial" w:eastAsia="Arial"/>
                <w:color w:val="FFFFFF"/>
              </w:rPr>
              <w:t>Frais UC (B)</w:t>
            </w:r>
          </w:p>
        </w:tc>
        <w:tc>
          <w:tcPr>
            <w:shd w:color="auto" w:val="clear" w:fill="E88C23"/>
          </w:tcPr>
          <w:p>
            <w:pPr>
              <w:spacing w:before="60" w:after="60"/>
              <w:jc w:val="center"/>
            </w:pPr>
            <w:r>
              <w:rPr>
                <w:b w:val="on"/>
                <w:sz w:val="14"/>
                <w:rFonts w:ascii="Arial" w:hAnsi="Arial" w:cs="Arial" w:eastAsia="Arial"/>
                <w:color w:val="FFFFFF"/>
              </w:rPr>
              <w:t>Perf nette N-1</w:t>
            </w:r>
          </w:p>
        </w:tc>
        <w:tc>
          <w:tcPr>
            <w:shd w:color="auto" w:val="clear" w:fill="E88C23"/>
          </w:tcPr>
          <w:p>
            <w:pPr>
              <w:spacing w:before="60" w:after="60"/>
              <w:jc w:val="center"/>
            </w:pPr>
            <w:r>
              <w:rPr>
                <w:b w:val="on"/>
                <w:sz w:val="14"/>
                <w:rFonts w:ascii="Arial" w:hAnsi="Arial" w:cs="Arial" w:eastAsia="Arial"/>
                <w:color w:val="FFFFFF"/>
              </w:rPr>
              <w:t>Perf nette 5a</w:t>
            </w:r>
          </w:p>
        </w:tc>
        <w:tc>
          <w:tcPr>
            <w:shd w:color="auto" w:val="clear" w:fill="E88C23"/>
          </w:tcPr>
          <w:p>
            <w:pPr>
              <w:spacing w:before="60" w:after="60"/>
              <w:jc w:val="center"/>
            </w:pPr>
            <w:r>
              <w:rPr>
                <w:b w:val="on"/>
                <w:sz w:val="14"/>
                <w:rFonts w:ascii="Arial" w:hAnsi="Arial" w:cs="Arial" w:eastAsia="Arial"/>
                <w:color w:val="FFFFFF"/>
              </w:rPr>
              <w:t>Frais contrat (C)</w:t>
            </w:r>
          </w:p>
        </w:tc>
        <w:tc>
          <w:tcPr>
            <w:shd w:color="auto" w:val="clear" w:fill="E88C23"/>
          </w:tcPr>
          <w:p>
            <w:pPr>
              <w:spacing w:before="60" w:after="60"/>
              <w:jc w:val="center"/>
            </w:pPr>
            <w:r>
              <w:rPr>
                <w:b w:val="on"/>
                <w:sz w:val="14"/>
                <w:rFonts w:ascii="Arial" w:hAnsi="Arial" w:cs="Arial" w:eastAsia="Arial"/>
                <w:color w:val="FFFFFF"/>
              </w:rPr>
              <w:t>Frais totaux (B+C)</w:t>
            </w:r>
          </w:p>
        </w:tc>
        <w:tc>
          <w:tcPr>
            <w:shd w:color="auto" w:val="clear" w:fill="E88C23"/>
          </w:tcPr>
          <w:p>
            <w:pPr>
              <w:spacing w:before="60" w:after="60"/>
              <w:jc w:val="center"/>
            </w:pPr>
            <w:r>
              <w:rPr>
                <w:b w:val="on"/>
                <w:sz w:val="14"/>
                <w:rFonts w:ascii="Arial" w:hAnsi="Arial" w:cs="Arial" w:eastAsia="Arial"/>
                <w:color w:val="FFFFFF"/>
              </w:rPr>
              <w:t>Perf finale N-1</w:t>
            </w:r>
          </w:p>
        </w:tc>
        <w:tc>
          <w:tcPr>
            <w:shd w:color="auto" w:val="clear" w:fill="E88C23"/>
          </w:tcPr>
          <w:p>
            <w:pPr>
              <w:spacing w:before="60" w:after="60"/>
              <w:jc w:val="center"/>
            </w:pPr>
            <w:r>
              <w:rPr>
                <w:b w:val="on"/>
                <w:sz w:val="14"/>
                <w:rFonts w:ascii="Arial" w:hAnsi="Arial" w:cs="Arial" w:eastAsia="Arial"/>
                <w:color w:val="FFFFFF"/>
              </w:rPr>
              <w:t>Perf finale 5a</w:t>
            </w:r>
          </w:p>
        </w:tc>
      </w:tr>
      <w:tr>
        <w:tc>
          <w:p>
            <w:pPr>
              <w:spacing w:before="40" w:after="40"/>
              <w:jc w:val="left"/>
            </w:pPr>
            <w:r>
              <w:rPr>
                <w:b w:val="off"/>
                <w:sz w:val="14"/>
                <w:rFonts w:ascii="Arial" w:hAnsi="Arial" w:cs="Arial" w:eastAsia="Arial"/>
              </w:rPr>
              <w:t>{{#actifsFinanciers}}</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c>
          <w:p>
            <w:pPr>
              <w:spacing w:before="40" w:after="40"/>
              <w:jc w:val="left"/>
            </w:pPr>
            <w:r>
              <w:rPr>
                <w:b w:val="off"/>
                <w:sz w:val="14"/>
                <w:rFonts w:ascii="Arial" w:hAnsi="Arial" w:cs="Arial" w:eastAsia="Arial"/>
              </w:rPr>
              <w:t/>
            </w:r>
          </w:p>
        </w:tc>
      </w:tr>
    </w:tbl>
    <w:p>
      <w:pPr>
        <w:spacing w:after="40"/>
      </w:pPr>
    </w:p>
    <w:p>
      <w:pPr>
        <w:spacing w:after="40"/>
        <w:jc w:val="left"/>
      </w:pPr>
      <w:r>
        <w:rPr>
          <w:b w:val="off"/>
          <w:sz w:val="14"/>
          <w:rFonts w:ascii="Arial" w:hAnsi="Arial" w:cs="Arial" w:eastAsia="Arial"/>
          <w:i w:val="off"/>
        </w:rPr>
        <w:t>UC : unite de compte</w:t>
      </w:r>
    </w:p>
    <w:p>
      <w:pPr>
        <w:spacing w:after="40"/>
        <w:jc w:val="left"/>
      </w:pPr>
      <w:r>
        <w:rPr>
          <w:b w:val="off"/>
          <w:sz w:val="14"/>
          <w:rFonts w:ascii="Arial" w:hAnsi="Arial" w:cs="Arial" w:eastAsia="Arial"/>
          <w:i w:val="off"/>
        </w:rPr>
        <w:t>SRI : indicateur de risque de l'UC. 1 (faible) a 7 (eleve)</w:t>
      </w:r>
    </w:p>
    <w:p>
      <w:pPr>
        <w:spacing w:after="40"/>
        <w:jc w:val="left"/>
      </w:pPr>
      <w:r>
        <w:rPr>
          <w:b w:val="off"/>
          <w:sz w:val="14"/>
          <w:rFonts w:ascii="Arial" w:hAnsi="Arial" w:cs="Arial" w:eastAsia="Arial"/>
          <w:i w:val="off"/>
        </w:rPr>
        <w:t>* Taux de retrocessions de commissions : quote-part des frais preleves par la societe de gestion retrocedes a la Carac pour remunerer son activite de distribution.</w:t>
      </w:r>
    </w:p>
    <w:p>
      <w:pPr>
        <w:pageBreakBefore w:val="on"/>
      </w:pPr>
    </w:p>
    <w:tbl>
      <w:tblPr>
        <w:tblW w:w="9600" w:type="dxa"/>
        <w:tblBorders>
          <w:top w:val="single" w:sz="8" w:space="0" w:color="E88C23"/>
          <w:left w:val="none" w:sz="0" w:space="0" w:color="FFFFFF"/>
          <w:bottom w:val="single" w:sz="8" w:space="0" w:color="E88C23"/>
          <w:right w:val="none" w:sz="0" w:space="0" w:color="FFFFFF"/>
          <w:insideH w:val="none" w:sz="0" w:space="0" w:color="FFFFFF"/>
          <w:insideV w:val="none" w:sz="0" w:space="0" w:color="FFFFFF"/>
        </w:tblBorders>
      </w:tblPr>
      <w:tblGrid>
        <w:gridCol w:w="9600"/>
      </w:tblGrid>
      <w:tr>
        <w:tc>
          <w:p>
            <w:pPr>
              <w:spacing w:before="80" w:after="80"/>
              <w:jc w:val="center"/>
            </w:pPr>
            <w:r>
              <w:rPr>
                <w:b w:val="on"/>
                <w:sz w:val="22"/>
                <w:rFonts w:ascii="Arial" w:hAnsi="Arial" w:cs="Arial" w:eastAsia="Arial"/>
                <w:color w:val="E88C23"/>
              </w:rPr>
              <w:t>MIEUX COMPRENDRE LA SITUATION DE VOTRE CONTRAT</w:t>
            </w:r>
          </w:p>
        </w:tc>
      </w:tr>
    </w:tbl>
    <w:p>
      <w:pPr>
        <w:spacing w:after="200"/>
      </w:pPr>
    </w:p>
    <w:p>
      <w:pPr>
        <w:spacing w:after="100"/>
        <w:jc w:val="both"/>
      </w:pPr>
      <w:r>
        <w:rPr>
          <w:b w:val="off"/>
          <w:sz w:val="18"/>
          <w:rFonts w:ascii="Arial" w:hAnsi="Arial" w:cs="Arial" w:eastAsia="Arial"/>
          <w:i w:val="off"/>
        </w:rPr>
        <w:t>Voici quelques clefs afin de vous aider a mieux comprendre votre releve de compte et votre contrat :</w:t>
      </w:r>
    </w:p>
    <w:p>
      <w:pPr>
        <w:spacing w:after="100"/>
        <w:jc w:val="both"/>
      </w:pPr>
      <w:r>
        <w:rPr>
          <w:b w:val="on"/>
          <w:sz w:val="18"/>
          <w:rFonts w:ascii="Arial" w:hAnsi="Arial" w:cs="Arial" w:eastAsia="Arial"/>
          <w:i w:val="off"/>
        </w:rPr>
        <w:t xml:space="preserve">Frais sur epargne geree : </w:t>
      </w:r>
      <w:r>
        <w:rPr>
          <w:b w:val="off"/>
          <w:sz w:val="18"/>
          <w:rFonts w:ascii="Arial" w:hAnsi="Arial" w:cs="Arial" w:eastAsia="Arial"/>
          <w:i w:val="off"/>
        </w:rPr>
        <w:t>les frais sur epargne geree sont de {{fraisEpargneGereeTaux}} sur le support Securite libelle en euros, preleves annuellement chaque 31 decembre en diminution du taux de rendement brut applique a l'epargne acquise. Ils s'elevent a 1% maximum sur les supports en unites de compte. Sur ces supports, les frais sur epargne geree sont preleves mensuellement sur le nombre de parts chaque fin de mois ou en cas de cloture du contrat, a la date de la demande de rachat ou a la date du deces.</w:t>
      </w:r>
    </w:p>
    <w:p>
      <w:pPr>
        <w:spacing w:after="100"/>
        <w:jc w:val="both"/>
      </w:pPr>
      <w:r>
        <w:rPr>
          <w:b w:val="on"/>
          <w:sz w:val="18"/>
          <w:rFonts w:ascii="Arial" w:hAnsi="Arial" w:cs="Arial" w:eastAsia="Arial"/>
          <w:i w:val="off"/>
        </w:rPr>
        <w:t xml:space="preserve">Frais sur versements : </w:t>
      </w:r>
      <w:r>
        <w:rPr>
          <w:b w:val="off"/>
          <w:sz w:val="18"/>
          <w:rFonts w:ascii="Arial" w:hAnsi="Arial" w:cs="Arial" w:eastAsia="Arial"/>
          <w:i w:val="off"/>
        </w:rPr>
        <w:t>des frais sont preleves sur chacun des versements effectues. Ils n'entrent pas dans l'assiette de calcul de l'epargne. Le taux de prelevement de ces frais est fixe par l'Assemblee Generale de la Carac ou, le cas echeant, par le Conseil d'administration de la Carac par voie de delegation.</w:t>
      </w:r>
    </w:p>
    <w:p>
      <w:pPr>
        <w:spacing w:after="100"/>
        <w:jc w:val="both"/>
      </w:pPr>
      <w:r>
        <w:rPr>
          <w:b w:val="on"/>
          <w:sz w:val="18"/>
          <w:rFonts w:ascii="Arial" w:hAnsi="Arial" w:cs="Arial" w:eastAsia="Arial"/>
          <w:i w:val="off"/>
        </w:rPr>
        <w:t xml:space="preserve">Garantie en cas de deces : </w:t>
      </w:r>
      <w:r>
        <w:rPr>
          <w:b w:val="off"/>
          <w:sz w:val="18"/>
          <w:rFonts w:ascii="Arial" w:hAnsi="Arial" w:cs="Arial" w:eastAsia="Arial"/>
          <w:i w:val="off"/>
        </w:rPr>
        <w:t>le capital deces de votre contrat est egal a votre epargne disponible sur le support Securite libelle en euros, majoree du nombre de parts, au jour du deces, des supports en unites de compte sur lesquels vous etes investi multiplie par la valeur de l'unite de compte, a la date de valeur de deces visee a l'article W7 du reglement mutualiste.</w:t>
      </w:r>
    </w:p>
    <w:p>
      <w:pPr>
        <w:spacing w:after="100"/>
        <w:jc w:val="both"/>
      </w:pPr>
      <w:r>
        <w:rPr>
          <w:b w:val="on"/>
          <w:sz w:val="18"/>
          <w:rFonts w:ascii="Arial" w:hAnsi="Arial" w:cs="Arial" w:eastAsia="Arial"/>
          <w:i w:val="off"/>
        </w:rPr>
        <w:t xml:space="preserve">Garantie plancher : </w:t>
      </w:r>
      <w:r>
        <w:rPr>
          <w:b w:val="off"/>
          <w:sz w:val="18"/>
          <w:rFonts w:ascii="Arial" w:hAnsi="Arial" w:cs="Arial" w:eastAsia="Arial"/>
          <w:i w:val="off"/>
        </w:rPr>
        <w:t>la garantie plancher vous garantit que vos beneficiaires designes au contrat percevront au minimum le capital investi.</w:t>
      </w:r>
    </w:p>
    <w:p>
      <w:pPr>
        <w:spacing w:after="100"/>
        <w:jc w:val="both"/>
      </w:pPr>
      <w:r>
        <w:rPr>
          <w:b w:val="on"/>
          <w:sz w:val="18"/>
          <w:rFonts w:ascii="Arial" w:hAnsi="Arial" w:cs="Arial" w:eastAsia="Arial"/>
          <w:i w:val="off"/>
        </w:rPr>
        <w:t xml:space="preserve">Participation aux excedents sur le support Securite libelle en euros : </w:t>
      </w:r>
      <w:r>
        <w:rPr>
          <w:b w:val="off"/>
          <w:sz w:val="18"/>
          <w:rFonts w:ascii="Arial" w:hAnsi="Arial" w:cs="Arial" w:eastAsia="Arial"/>
          <w:i w:val="off"/>
        </w:rPr>
        <w:t>chaque annee, le Conseil d'administration de la Carac determine, dans le rapport de gestion soumis pour adoption a l'Assemblee Generale, le taux de participation aux excedents de l'epargne acquise. Cette derniere est attribuee aux contrats disposant d'une epargne non nulle sur le support Securite libelle en euros au 31 decembre de l'annee du calcul.</w:t>
      </w:r>
    </w:p>
    <w:p>
      <w:pPr>
        <w:spacing w:after="100"/>
        <w:jc w:val="both"/>
      </w:pPr>
      <w:r>
        <w:rPr>
          <w:b w:val="on"/>
          <w:sz w:val="18"/>
          <w:rFonts w:ascii="Arial" w:hAnsi="Arial" w:cs="Arial" w:eastAsia="Arial"/>
          <w:i w:val="off"/>
        </w:rPr>
        <w:t xml:space="preserve">Rachat : </w:t>
      </w:r>
      <w:r>
        <w:rPr>
          <w:b w:val="off"/>
          <w:sz w:val="18"/>
          <w:rFonts w:ascii="Arial" w:hAnsi="Arial" w:cs="Arial" w:eastAsia="Arial"/>
          <w:i w:val="off"/>
        </w:rPr>
        <w:t>a l'issue du delai de renonciation, vous pouvez a tout moment disposer de l'epargne acquise. En cas d'acceptation par le beneficiaire du contrat, le rachat n'est possible qu'avec son accord express.</w:t>
      </w:r>
    </w:p>
    <w:p>
      <w:pPr>
        <w:spacing w:after="100"/>
        <w:jc w:val="both"/>
      </w:pPr>
      <w:r>
        <w:rPr>
          <w:b w:val="on"/>
          <w:sz w:val="18"/>
          <w:rFonts w:ascii="Arial" w:hAnsi="Arial" w:cs="Arial" w:eastAsia="Arial"/>
          <w:i w:val="off"/>
        </w:rPr>
        <w:t xml:space="preserve">Valeur de rachat : </w:t>
      </w:r>
      <w:r>
        <w:rPr>
          <w:b w:val="off"/>
          <w:sz w:val="18"/>
          <w:rFonts w:ascii="Arial" w:hAnsi="Arial" w:cs="Arial" w:eastAsia="Arial"/>
          <w:i w:val="off"/>
        </w:rPr>
        <w:t>la valeur de rachat de votre contrat est egale a votre epargne disponible sur le support Securite libelle en euros, majoree du nombre de parts des supports en unites de compte sur lesquels vous etes investi multiplie par la valeur de l'unite de compte, a la date de valeur du rachat visee a l'article W7 du reglement mutualiste, eventuellement augmentee des versements non valorises. Les produits (interets et plus-values) issus du rachat peuvent etre soumis a prelevements sociaux (CSG), contribution au remboursement de la dette sociale (CRDS) et prelevement de solidarite au taux de {{tauxPrelevementsSociaux}}.</w:t>
      </w:r>
    </w:p>
    <w:p>
      <w:pPr>
        <w:spacing w:after="400"/>
      </w:pPr>
    </w:p>
    <w:p>
      <w:pPr>
        <w:pBdr>
          <w:top w:val="single"/>
        </w:pBdr>
        <w:spacing w:before="200"/>
        <w:jc w:val="both"/>
      </w:pPr>
      <w:r>
        <w:rPr>
          <w:i w:val="on"/>
          <w:sz w:val="16"/>
          <w:rFonts w:ascii="Arial" w:hAnsi="Arial" w:cs="Arial" w:eastAsia="Arial"/>
          <w:color w:val="666666"/>
        </w:rPr>
        <w:t>Ces informations sont donnees sous reserve des derniers elements connus au {{dateCourante}} par notre organisme.</w:t>
      </w:r>
    </w:p>
    <w:sectPr>
      <w:pgSz w:w="11906" w:h="16838" w:orient="portrait"/>
      <w:pgMar w:top="1134" w:bottom="1134" w:left="1134" w:right="1134"/>
    </w:sectPr>
  </w:body>
</w:document>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2026-04-21T06:54:48Z</dcterms:created>
  <dc:creator>Apache POI</dc:creator>
</cp:coreProperties>
</file>