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hd w:val="clear" w:color="auto" w:fill="0d1b3e"/>
        <w:spacing w:before="0" w:after="0"/>
        <w:jc w:val="center"/>
        <w:rPr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>NovaMed AI Pvt. Ltd.</w:t>
      </w:r>
    </w:p>
    <w:p>
      <w:pPr>
        <w:pStyle w:val="style0"/>
        <w:shd w:val="clear" w:color="auto" w:fill="1a3a6b"/>
        <w:spacing w:before="0" w:after="0"/>
        <w:jc w:val="center"/>
        <w:rPr/>
      </w:pPr>
      <w:r>
        <w:rPr>
          <w:rFonts w:ascii="Calibri" w:cs="Calibri" w:eastAsia="Calibri" w:hAnsi="Calibri"/>
          <w:color w:val="f4a700"/>
          <w:sz w:val="24"/>
          <w:szCs w:val="24"/>
        </w:rPr>
        <w:t>Founder &amp; Company Profile  |  Investor Due Diligence Document</w:t>
      </w:r>
    </w:p>
    <w:p>
      <w:pPr>
        <w:pStyle w:val="style0"/>
        <w:spacing w:before="120" w:after="240"/>
        <w:jc w:val="center"/>
        <w:rPr/>
      </w:pPr>
      <w:r>
        <w:rPr>
          <w:rFonts w:ascii="Calibri" w:cs="Calibri" w:eastAsia="Calibri" w:hAnsi="Calibri"/>
          <w:color w:val="9ca3af"/>
          <w:sz w:val="20"/>
          <w:szCs w:val="20"/>
        </w:rPr>
        <w:t>January 2026  •  Series A Round  •  Confidential</w:t>
      </w:r>
    </w:p>
    <w:p>
      <w:pPr>
        <w:pStyle w:val="style0"/>
        <w:shd w:val="clear" w:color="auto" w:fill="0d1b3e"/>
        <w:spacing w:before="240" w:after="120"/>
        <w:ind w:left="180"/>
        <w:rPr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>1. COMPANY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00"/>
        <w:gridCol w:w="6560"/>
      </w:tblGrid>
      <w:tr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Company Name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NovaMed AI Pvt. Ltd.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CIN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U85110KA2021PTC142867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Incorporated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August 2021, Bangalore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Sector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HealthTech / Artificial Intelligence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Business Idea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AI-powered diagnostic assistant for rural &amp; semi-urban clinics detecting chronic diseases (diabetes, hypertension, cardiac) using IoT device + cloud ML model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DPIIT Recognition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Startup India No. DIPP132847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BIRAC Grant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INR 50 Lakh (Biotechnology Industry Research Assistance Council)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Registered Office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Koramangala, Bangalore, Karnataka — 560034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Website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www.novamed.ai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0"/>
        <w:shd w:val="clear" w:color="auto" w:fill="0d1b3e"/>
        <w:spacing w:before="240" w:after="120"/>
        <w:ind w:left="180"/>
        <w:rPr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>2. FOUNDER EXPERIENCE</w:t>
      </w:r>
    </w:p>
    <w:p>
      <w:pPr>
        <w:pStyle w:val="style0"/>
        <w:shd w:val="clear" w:color="auto" w:fill="0d6e8a"/>
        <w:spacing w:before="200" w:after="100"/>
        <w:ind w:left="180"/>
        <w:rPr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>Dr. Priya Venkatesh — CEO &amp; Co-Founder (Age 35)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00"/>
        <w:gridCol w:w="6560"/>
      </w:tblGrid>
      <w:tr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Education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MBBS, AIIMS Delhi (Gold Medalist) | MD Internal Medicine, PGI Chandigarh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Clinical Experience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8 years rural physician with MSF (Médecins Sans Frontières), Rajasthan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Corporate Experience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Ex-Chief Medical Advisor, Practo Technologies (2018–2021) — 10M+ patients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Recognition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Forbes 30 Under 30 Asia 2022 | TEDx Speaker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Patents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2 patents: AI-assisted ECG interpretation &amp; predictive diabetes screening algorithm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0"/>
        <w:shd w:val="clear" w:color="auto" w:fill="0d6e8a"/>
        <w:spacing w:before="200" w:after="100"/>
        <w:ind w:left="180"/>
        <w:rPr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>Arjun Mehta — CTO &amp; Co-Founder (Age 32)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00"/>
        <w:gridCol w:w="6560"/>
      </w:tblGrid>
      <w:tr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Education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B.Tech + M.Tech Computer Science, IIT Bombay (CGPA: 9.2/10)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Industry Experience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6 years Senior ML Engineer, Google Health (Mountain View) — diabetic retinopathy detection deployed in 10 countries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Startup Experience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Ex-Principal Engineer, Niramai Health Analytix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Research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11 peer-reviewed papers in Nature Digital Medicine, Lancet Digital Health, JAMIA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Recognition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Kaggle Grandmaster | AI4Health Award 2022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0"/>
        <w:shd w:val="clear" w:color="auto" w:fill="0d6e8a"/>
        <w:spacing w:before="200" w:after="100"/>
        <w:ind w:left="180"/>
        <w:rPr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>Sneha Rajan — CFO (Age 34)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00"/>
        <w:gridCol w:w="6560"/>
      </w:tblGrid>
      <w:tr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Education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Chartered Accountant (CA) + MBA, ISB Hyderabad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Experience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Ex-Finance Head, Portea Medical | 10+ years in healthcare startup finance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Expertise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Startup fundraising, financial modelling, SEBI compliance, cross-border transactions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0"/>
        <w:shd w:val="clear" w:color="auto" w:fill="0d1b3e"/>
        <w:spacing w:before="240" w:after="120"/>
        <w:ind w:left="180"/>
        <w:rPr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>3. ADVISORY BOARD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e293b"/>
          <w:sz w:val="20"/>
          <w:szCs w:val="20"/>
        </w:rPr>
        <w:t>Dr. K. Srinath Reddy — President, Public Health Foundation of India (PHFI)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e293b"/>
          <w:sz w:val="20"/>
          <w:szCs w:val="20"/>
        </w:rPr>
        <w:t>Prof. Ashish Jha — Dean, Harvard School of Public Health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e293b"/>
          <w:sz w:val="20"/>
          <w:szCs w:val="20"/>
        </w:rPr>
        <w:t>Mr. Rajan Anandan — Managing Director, Peak XV Partners (formerly Sequoia India)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e293b"/>
          <w:sz w:val="20"/>
          <w:szCs w:val="20"/>
        </w:rPr>
        <w:t>Dr. Soumya Swaminathan — Former Chief Scientist, WHO</w:t>
      </w:r>
    </w:p>
    <w:p>
      <w:pPr>
        <w:pStyle w:val="style0"/>
        <w:spacing w:before="80" w:after="80"/>
        <w:rPr/>
      </w:pPr>
    </w:p>
    <w:p>
      <w:pPr>
        <w:pStyle w:val="style0"/>
        <w:shd w:val="clear" w:color="auto" w:fill="0d1b3e"/>
        <w:spacing w:before="240" w:after="120"/>
        <w:ind w:left="180"/>
        <w:rPr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>4. TRACTION &amp;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62"/>
        <w:gridCol w:w="1209"/>
        <w:gridCol w:w="6987"/>
      </w:tblGrid>
      <w:tr>
        <w:trPr/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0d6e8a"/>
                <w:sz w:val="18"/>
                <w:szCs w:val="18"/>
              </w:rPr>
              <w:t>Aug 2021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a7a4a"/>
                <w:sz w:val="18"/>
                <w:szCs w:val="18"/>
              </w:rPr>
              <w:t>Complete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Company incorporated, Bangalore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0d6e8a"/>
                <w:sz w:val="18"/>
                <w:szCs w:val="18"/>
              </w:rPr>
              <w:t>Mar 2022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a7a4a"/>
                <w:sz w:val="18"/>
                <w:szCs w:val="18"/>
              </w:rPr>
              <w:t>Complete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MVP Launch — NovaScan v1 prototype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0d6e8a"/>
                <w:sz w:val="18"/>
                <w:szCs w:val="18"/>
              </w:rPr>
              <w:t>Aug 2022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a7a4a"/>
                <w:sz w:val="18"/>
                <w:szCs w:val="18"/>
              </w:rPr>
              <w:t>Complete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First 10 paying clinics onboarded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0d6e8a"/>
                <w:sz w:val="18"/>
                <w:szCs w:val="18"/>
              </w:rPr>
              <w:t>Nov 2022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a7a4a"/>
                <w:sz w:val="18"/>
                <w:szCs w:val="18"/>
              </w:rPr>
              <w:t>Complete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Angel funding INR 3.2 Crore raised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0d6e8a"/>
                <w:sz w:val="18"/>
                <w:szCs w:val="18"/>
              </w:rPr>
              <w:t>Jun 2023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a7a4a"/>
                <w:sz w:val="18"/>
                <w:szCs w:val="18"/>
              </w:rPr>
              <w:t>Complete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Pre-Series A INR 8.5 Crore from Stellaris Venture Partners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0d6e8a"/>
                <w:sz w:val="18"/>
                <w:szCs w:val="18"/>
              </w:rPr>
              <w:t>Dec 2023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a7a4a"/>
                <w:sz w:val="18"/>
                <w:szCs w:val="18"/>
              </w:rPr>
              <w:t>Complete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100 clinic milestone achieved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0d6e8a"/>
                <w:sz w:val="18"/>
                <w:szCs w:val="18"/>
              </w:rPr>
              <w:t>Apr 2024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a7a4a"/>
                <w:sz w:val="18"/>
                <w:szCs w:val="18"/>
              </w:rPr>
              <w:t>Complete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PMJAY integration pilot signed with 2 state governments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0d6e8a"/>
                <w:sz w:val="18"/>
                <w:szCs w:val="18"/>
              </w:rPr>
              <w:t>Dec 2024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a7a4a"/>
                <w:sz w:val="18"/>
                <w:szCs w:val="18"/>
              </w:rPr>
              <w:t>Complete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340 active clinics | 82,000+ patient scans | INR 85L revenue (9M)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0d6e8a"/>
                <w:sz w:val="18"/>
                <w:szCs w:val="18"/>
              </w:rPr>
              <w:t>Q1 2026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f4a700"/>
                <w:sz w:val="18"/>
                <w:szCs w:val="18"/>
              </w:rPr>
              <w:t>In Progress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Series A fundraise — USD 3M target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0d6e8a"/>
                <w:sz w:val="18"/>
                <w:szCs w:val="18"/>
              </w:rPr>
              <w:t>Q2 2026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9ca3af"/>
                <w:sz w:val="18"/>
                <w:szCs w:val="18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CDSCO Class B approval | NovaScan v2 launch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0"/>
        <w:shd w:val="clear" w:color="auto" w:fill="0d1b3e"/>
        <w:spacing w:before="240" w:after="120"/>
        <w:ind w:left="180"/>
        <w:rPr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>5. COMPETITOR ANALYSIS</w:t>
      </w:r>
    </w:p>
    <w:p>
      <w:pPr>
        <w:pStyle w:val="style0"/>
        <w:spacing w:before="60" w:after="60"/>
        <w:ind w:left="180"/>
        <w:rPr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>NovaMed AI's key differentiators vs competitors: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e293b"/>
          <w:sz w:val="20"/>
          <w:szCs w:val="20"/>
        </w:rPr>
        <w:t>Multi-disease detection in single 90-second scan (vs single-disease competitors)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e293b"/>
          <w:sz w:val="20"/>
          <w:szCs w:val="20"/>
        </w:rPr>
        <w:t>Works offline on 2G/3G — only solution designed for rural India connectivity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e293b"/>
          <w:sz w:val="20"/>
          <w:szCs w:val="20"/>
        </w:rPr>
        <w:t>Hardware cost USD 120 vs USD 800+ for comparable international devices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e293b"/>
          <w:sz w:val="20"/>
          <w:szCs w:val="20"/>
        </w:rPr>
        <w:t>AI model trained on 2.4M Indian patient records (peers have &lt;100K)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e293b"/>
          <w:sz w:val="20"/>
          <w:szCs w:val="20"/>
        </w:rPr>
        <w:t>Vernacular language support: Hindi, Tamil, Telugu, Bengali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e293b"/>
          <w:sz w:val="20"/>
          <w:szCs w:val="20"/>
        </w:rPr>
        <w:t>Niramai (breast cancer only, INR 120Cr raised) — no chronic disease focus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e293b"/>
          <w:sz w:val="20"/>
          <w:szCs w:val="20"/>
        </w:rPr>
        <w:t>Tricog Health (ECG only, USD 12M raised) — hospital-focused, not rural clinics</w:t>
      </w:r>
    </w:p>
    <w:p>
      <w:pPr>
        <w:pStyle w:val="style0"/>
        <w:spacing w:before="80" w:after="80"/>
        <w:rPr/>
      </w:pPr>
    </w:p>
    <w:p>
      <w:pPr>
        <w:pStyle w:val="style0"/>
        <w:shd w:val="clear" w:color="auto" w:fill="0d1b3e"/>
        <w:spacing w:before="240" w:after="120"/>
        <w:ind w:left="180"/>
        <w:rPr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>6. RISK FACTORS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75"/>
        <w:gridCol w:w="3062"/>
        <w:gridCol w:w="4822"/>
      </w:tblGrid>
      <w:tr>
        <w:trPr/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Regulatory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CDSCO Class B approval pending (Q2 2026)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Operating under research exemption; legal team on retainer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Data Privacy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DPDP Act 2023 compliance required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DPO appointed; compliance roadmap in place; HIPAA-aligned infrastructure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Competition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Global players (Philips, GE) entering rural India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4-year head start; proprietary 2.4M dataset; deep government relationships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Hardware Supply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2 Taiwan-based chip suppliers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6-month inventory buffer; qualifying STMicroelectronics as 2nd supplier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Key Person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Dependence on founding team</w:t>
            </w:r>
          </w:p>
        </w:tc>
        <w:tc>
          <w:tcPr>
            <w:tcW w:w="0" w:type="auto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>ESOP pool established; succession plans drafted; advisory board active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0"/>
        <w:shd w:val="clear" w:color="auto" w:fill="0d1b3e"/>
        <w:spacing w:before="240" w:after="120"/>
        <w:ind w:left="180"/>
        <w:rPr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>7. FUTURE PLAN — 18-MONTH ROADMAP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e293b"/>
          <w:sz w:val="20"/>
          <w:szCs w:val="20"/>
        </w:rPr>
        <w:t>Q1 2026: Close Series A | hire 40 field sales reps | expand to UP, Bihar, MP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e293b"/>
          <w:sz w:val="20"/>
          <w:szCs w:val="20"/>
        </w:rPr>
        <w:t>Q2 2026: NovaScan v2 launch with ECG + SpO2 modules | CDSCO approval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e293b"/>
          <w:sz w:val="20"/>
          <w:szCs w:val="20"/>
        </w:rPr>
        <w:t>Q3 2026: 1,000 active clinics | launch insurance data product with 3 partners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e293b"/>
          <w:sz w:val="20"/>
          <w:szCs w:val="20"/>
        </w:rPr>
        <w:t>Q4 2026: Southeast Asia pilot (Bangladesh, Sri Lanka) | file PCT patent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e293b"/>
          <w:sz w:val="20"/>
          <w:szCs w:val="20"/>
        </w:rPr>
        <w:t>FY2027: EBITDA breakeven at 2,200 clinics | explore Series B fundraise</w:t>
      </w:r>
    </w:p>
    <w:p>
      <w:pPr>
        <w:pStyle w:val="style0"/>
        <w:spacing w:before="80" w:after="80"/>
        <w:rPr/>
      </w:pPr>
    </w:p>
    <w:p>
      <w:pPr>
        <w:pStyle w:val="style0"/>
        <w:shd w:val="clear" w:color="auto" w:fill="0d1b3e"/>
        <w:spacing w:before="240" w:after="120"/>
        <w:ind w:left="180"/>
        <w:rPr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>8. INVESTOR COMMENTS &amp; FEEDBACK</w:t>
      </w:r>
    </w:p>
    <w:p>
      <w:pPr>
        <w:pStyle w:val="style0"/>
        <w:spacing w:before="8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none" w:sz="4" w:space="0" w:color="auto"/>
              <w:left w:val="thick" w:sz="24" w:space="0" w:color="f4a700"/>
              <w:bottom w:val="none" w:sz="4" w:space="0" w:color="auto"/>
              <w:right w:val="none" w:sz="4" w:space="0" w:color="auto"/>
            </w:tcBorders>
            <w:shd w:val="clear" w:color="auto" w:fill="fffbf0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>"The diagnostic accuracy figures are impressive — we need to see the peer-review paper and CDSCO regulatory timeline before committing. The rural focus is highly differentiated."</w:t>
            </w:r>
          </w:p>
          <w:p>
            <w:pPr>
              <w:pStyle w:val="style0"/>
              <w:spacing w:before="60"/>
              <w:rPr/>
            </w:pPr>
            <w:r>
              <w:rPr>
                <w:rFonts w:ascii="Calibri" w:cs="Calibri" w:eastAsia="Calibri" w:hAnsi="Calibri"/>
                <w:b/>
                <w:bCs/>
                <w:color w:val="0d6e8a"/>
                <w:sz w:val="18"/>
                <w:szCs w:val="18"/>
              </w:rPr>
              <w:t>— Anand Krishnan, Partner — Elevation Capital (November 2025)</w:t>
            </w:r>
          </w:p>
        </w:tc>
      </w:tr>
    </w:tbl>
    <w:p>
      <w:pPr>
        <w:pStyle w:val="style0"/>
        <w:spacing w:before="8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none" w:sz="4" w:space="0" w:color="auto"/>
              <w:left w:val="thick" w:sz="24" w:space="0" w:color="f4a700"/>
              <w:bottom w:val="none" w:sz="4" w:space="0" w:color="auto"/>
              <w:right w:val="none" w:sz="4" w:space="0" w:color="auto"/>
            </w:tcBorders>
            <w:shd w:val="clear" w:color="auto" w:fill="fffbf0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>"LTV:CAC of 14.8x is exceptional for a hardware+SaaS model. Main concern is post-raise burn rate and path to profitability. Would like to see monthly cohort analysis."</w:t>
            </w:r>
          </w:p>
          <w:p>
            <w:pPr>
              <w:pStyle w:val="style0"/>
              <w:spacing w:before="60"/>
              <w:rPr/>
            </w:pPr>
            <w:r>
              <w:rPr>
                <w:rFonts w:ascii="Calibri" w:cs="Calibri" w:eastAsia="Calibri" w:hAnsi="Calibri"/>
                <w:b/>
                <w:bCs/>
                <w:color w:val="0d6e8a"/>
                <w:sz w:val="18"/>
                <w:szCs w:val="18"/>
              </w:rPr>
              <w:t>— Pallavi Srivastava, Director — Lightspeed India (December 2025)</w:t>
            </w:r>
          </w:p>
        </w:tc>
      </w:tr>
    </w:tbl>
    <w:p>
      <w:pPr>
        <w:pStyle w:val="style0"/>
        <w:spacing w:before="8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none" w:sz="4" w:space="0" w:color="auto"/>
              <w:left w:val="thick" w:sz="24" w:space="0" w:color="f4a700"/>
              <w:bottom w:val="none" w:sz="4" w:space="0" w:color="auto"/>
              <w:right w:val="none" w:sz="4" w:space="0" w:color="auto"/>
            </w:tcBorders>
            <w:shd w:val="clear" w:color="auto" w:fill="fffbf0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>"Strong clinical validation data. Impressed by the IIT Bombay + Google Health pedigree on the tech side. Would like to understand the PMJAY revenue recognition timeline better."</w:t>
            </w:r>
          </w:p>
          <w:p>
            <w:pPr>
              <w:pStyle w:val="style0"/>
              <w:spacing w:before="60"/>
              <w:rPr/>
            </w:pPr>
            <w:r>
              <w:rPr>
                <w:rFonts w:ascii="Calibri" w:cs="Calibri" w:eastAsia="Calibri" w:hAnsi="Calibri"/>
                <w:b/>
                <w:bCs/>
                <w:color w:val="0d6e8a"/>
                <w:sz w:val="18"/>
                <w:szCs w:val="18"/>
              </w:rPr>
              <w:t>— Karthik Reddy, Co-Founder &amp; Partner — Blume Ventures (January 2026)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0"/>
        <w:shd w:val="clear" w:color="auto" w:fill="0d1b3e"/>
        <w:spacing w:before="240" w:after="120"/>
        <w:ind w:left="180"/>
        <w:rPr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>9. LEGAL &amp; COMPLIANCE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00"/>
        <w:gridCol w:w="6560"/>
      </w:tblGrid>
      <w:tr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Legal Structure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Private Limited Company — Companies Act 2013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DPIIT Recognition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Startup India Certificate — No. DIPP132847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Tax Status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Section 80-IAC exemption applied for (startup tax holiday)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IP Portfolio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2 patents filed (India + PCT); 4 provisional applications pending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Previous Funding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Angel INR 3.2Cr (2022) + Pre-Series A INR 8.5Cr from Stellaris Venture Partners (2023)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Auditor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Deloitte Haskins &amp; Sells LLP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Legal Advisor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AZB &amp; Partners, Bangalore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ef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19"/>
                <w:szCs w:val="19"/>
              </w:rPr>
              <w:t>Data Protection</w:t>
            </w:r>
          </w:p>
        </w:tc>
        <w:tc>
          <w:tcPr>
            <w:tcW w:w="6560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>DPDP Act 2023 compliant | DPO appointed | ISO 27001 in progress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0"/>
        <w:spacing w:before="240"/>
        <w:jc w:val="center"/>
        <w:rPr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>Document prepared by NovaMed AI Pvt. Ltd.  |  For investor use only  |  January 2026</w:t>
      </w:r>
    </w:p>
    <w:sectPr>
      <w:headerReference w:type="default" r:id="rId2"/>
      <w:pgSz w:w="12240" w:h="15840" w:orient="portrait"/>
      <w:pgMar w:top="1080" w:right="1080" w:bottom="1080" w:left="108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right"/>
      <w:rPr/>
    </w:pPr>
    <w:r>
      <w:rPr>
        <w:rFonts w:ascii="Calibri" w:cs="Calibri" w:eastAsia="Calibri" w:hAnsi="Calibri"/>
        <w:color w:val="9ca3af"/>
        <w:sz w:val="16"/>
        <w:szCs w:val="16"/>
      </w:rPr>
      <w:t>NovaMed AI Pvt. Ltd.  |  Founder &amp; Company Profile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328b4629-9728-4581-a076-0196c3fc4d55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844</Words>
  <Characters>5023</Characters>
  <Application>WPS Office</Application>
  <Paragraphs>216</Paragraphs>
  <CharactersWithSpaces>5756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2026-03-01T09:16:27Z</dcterms:created>
  <dc:creator>Un-named</dc:creator>
  <lastModifiedBy>SM-M307F</lastModifiedBy>
  <dcterms:modified xsi:type="dcterms:W3CDTF">2026-03-01T09:16:28Z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27bc3e92c0e841449f79ab8106be0708</vt:lpwstr>
  </property>
</Properties>
</file>