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NovaMed AI Pvt. Ltd.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F4A700"/>
                <w:sz w:val="28"/>
                <w:szCs w:val="28"/>
              </w:rPr>
              <w:t xml:space="preserve">Company Profile &amp; Investor Comments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CADCFC"/>
                <w:sz w:val="22"/>
                <w:szCs w:val="22"/>
              </w:rPr>
              <w:t xml:space="preserve">Series A | USD 3,000,000 | January 2026</w:t>
            </w:r>
          </w:p>
        </w:tc>
      </w:tr>
    </w:tbl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  COMPANY OVERVIEW</w:t>
            </w:r>
          </w:p>
        </w:tc>
      </w:tr>
    </w:tbl>
    <w:p>
      <w:pPr>
        <w:spacing w:before="10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0"/>
                <w:szCs w:val="20"/>
              </w:rPr>
              <w:t xml:space="preserve">Company Name</w:t>
            </w:r>
          </w:p>
        </w:tc>
        <w:tc>
          <w:tcPr>
            <w:tcW w:type="dxa" w:w="64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3E"/>
                <w:sz w:val="20"/>
                <w:szCs w:val="20"/>
              </w:rPr>
              <w:t xml:space="preserve">NovaMed AI Pvt. Ltd.</w:t>
            </w:r>
          </w:p>
        </w:tc>
      </w:tr>
      <w:tr>
        <w:tc>
          <w:tcPr>
            <w:tcW w:type="dxa" w:w="28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0"/>
                <w:szCs w:val="20"/>
              </w:rPr>
              <w:t xml:space="preserve">CIN</w:t>
            </w:r>
          </w:p>
        </w:tc>
        <w:tc>
          <w:tcPr>
            <w:tcW w:type="dxa" w:w="64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3E"/>
                <w:sz w:val="20"/>
                <w:szCs w:val="20"/>
              </w:rPr>
              <w:t xml:space="preserve">U72900KA2021PTC143862</w:t>
            </w:r>
          </w:p>
        </w:tc>
      </w:tr>
      <w:tr>
        <w:tc>
          <w:tcPr>
            <w:tcW w:type="dxa" w:w="28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0"/>
                <w:szCs w:val="20"/>
              </w:rPr>
              <w:t xml:space="preserve">Incorporation</w:t>
            </w:r>
          </w:p>
        </w:tc>
        <w:tc>
          <w:tcPr>
            <w:tcW w:type="dxa" w:w="64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3E"/>
                <w:sz w:val="20"/>
                <w:szCs w:val="20"/>
              </w:rPr>
              <w:t xml:space="preserve">August 2021 | Bangalore, Karnataka</w:t>
            </w:r>
          </w:p>
        </w:tc>
      </w:tr>
      <w:tr>
        <w:tc>
          <w:tcPr>
            <w:tcW w:type="dxa" w:w="28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0"/>
                <w:szCs w:val="20"/>
              </w:rPr>
              <w:t xml:space="preserve">DPIIT Recognition</w:t>
            </w:r>
          </w:p>
        </w:tc>
        <w:tc>
          <w:tcPr>
            <w:tcW w:type="dxa" w:w="64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3E"/>
                <w:sz w:val="20"/>
                <w:szCs w:val="20"/>
              </w:rPr>
              <w:t xml:space="preserve">DIPP132847 — Startup India (Aug 2021)</w:t>
            </w:r>
          </w:p>
        </w:tc>
      </w:tr>
      <w:tr>
        <w:tc>
          <w:tcPr>
            <w:tcW w:type="dxa" w:w="28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0"/>
                <w:szCs w:val="20"/>
              </w:rPr>
              <w:t xml:space="preserve">BIRAC Grant</w:t>
            </w:r>
          </w:p>
        </w:tc>
        <w:tc>
          <w:tcPr>
            <w:tcW w:type="dxa" w:w="64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3E"/>
                <w:sz w:val="20"/>
                <w:szCs w:val="20"/>
              </w:rPr>
              <w:t xml:space="preserve">INR 50 Lakh — Biotechnology Industry Research Assistance Council (2022)</w:t>
            </w:r>
          </w:p>
        </w:tc>
      </w:tr>
      <w:tr>
        <w:tc>
          <w:tcPr>
            <w:tcW w:type="dxa" w:w="28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0"/>
                <w:szCs w:val="20"/>
              </w:rPr>
              <w:t xml:space="preserve">Stage</w:t>
            </w:r>
          </w:p>
        </w:tc>
        <w:tc>
          <w:tcPr>
            <w:tcW w:type="dxa" w:w="64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3E"/>
                <w:sz w:val="20"/>
                <w:szCs w:val="20"/>
              </w:rPr>
              <w:t xml:space="preserve">Series A Fundraise — January 2026</w:t>
            </w:r>
          </w:p>
        </w:tc>
      </w:tr>
      <w:tr>
        <w:tc>
          <w:tcPr>
            <w:tcW w:type="dxa" w:w="28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0"/>
                <w:szCs w:val="20"/>
              </w:rPr>
              <w:t xml:space="preserve">Employees</w:t>
            </w:r>
          </w:p>
        </w:tc>
        <w:tc>
          <w:tcPr>
            <w:tcW w:type="dxa" w:w="64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3E"/>
                <w:sz w:val="20"/>
                <w:szCs w:val="20"/>
              </w:rPr>
              <w:t xml:space="preserve">28 full-time | 12 contract consultants</w:t>
            </w:r>
          </w:p>
        </w:tc>
      </w:tr>
      <w:tr>
        <w:tc>
          <w:tcPr>
            <w:tcW w:type="dxa" w:w="28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0"/>
                <w:szCs w:val="20"/>
              </w:rPr>
              <w:t xml:space="preserve">Auditor</w:t>
            </w:r>
          </w:p>
        </w:tc>
        <w:tc>
          <w:tcPr>
            <w:tcW w:type="dxa" w:w="64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3E"/>
                <w:sz w:val="20"/>
                <w:szCs w:val="20"/>
              </w:rPr>
              <w:t xml:space="preserve">Deloitte Haskins &amp; Sells LLP</w:t>
            </w:r>
          </w:p>
        </w:tc>
      </w:tr>
      <w:tr>
        <w:tc>
          <w:tcPr>
            <w:tcW w:type="dxa" w:w="28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0"/>
                <w:szCs w:val="20"/>
              </w:rPr>
              <w:t xml:space="preserve">Legal Counsel</w:t>
            </w:r>
          </w:p>
        </w:tc>
        <w:tc>
          <w:tcPr>
            <w:tcW w:type="dxa" w:w="64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3E"/>
                <w:sz w:val="20"/>
                <w:szCs w:val="20"/>
              </w:rPr>
              <w:t xml:space="preserve">AZB &amp; Partners (Bangalore)</w:t>
            </w:r>
          </w:p>
        </w:tc>
      </w:tr>
      <w:tr>
        <w:tc>
          <w:tcPr>
            <w:tcW w:type="dxa" w:w="28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0"/>
                <w:szCs w:val="20"/>
              </w:rPr>
              <w:t xml:space="preserve">IP</w:t>
            </w:r>
          </w:p>
        </w:tc>
        <w:tc>
          <w:tcPr>
            <w:tcW w:type="dxa" w:w="64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3E"/>
                <w:sz w:val="20"/>
                <w:szCs w:val="20"/>
              </w:rPr>
              <w:t xml:space="preserve">2 granted patents (IN202141012345, IN202141067890) | 1 PCT application pending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  BUSINESS BACKGROUND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5F7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B3E"/>
                <w:sz w:val="20"/>
                <w:szCs w:val="20"/>
              </w:rPr>
              <w:t xml:space="preserve">NovaMed AI was founded in August 2021 in Bangalore, India. The company was inspired by the firsthand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B3E"/>
                <w:sz w:val="20"/>
                <w:szCs w:val="20"/>
              </w:rPr>
              <w:t xml:space="preserve">experience of Dr. Priya Venkatesh who spent 8 years as a field physician with Medecins Sans Frontieres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B3E"/>
                <w:sz w:val="20"/>
                <w:szCs w:val="20"/>
              </w:rPr>
              <w:t xml:space="preserve">(MSF) in rural Rajasthan, witnessing preventable deaths from undetected chronic diseases. Over 600 million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B3E"/>
                <w:sz w:val="20"/>
                <w:szCs w:val="20"/>
              </w:rPr>
              <w:t xml:space="preserve">rural Indians lack access to specialist diagnostic services, and late-stage disease treatment costs 8-10x more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B3E"/>
                <w:sz w:val="20"/>
                <w:szCs w:val="20"/>
              </w:rPr>
              <w:t xml:space="preserve">than early detection.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B3E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B3E"/>
                <w:sz w:val="20"/>
                <w:szCs w:val="20"/>
              </w:rPr>
              <w:t xml:space="preserve">NovaMed developed the NovaScan device — a USD 120 IoT instrument that collects patient vitals in 90 seconds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B3E"/>
                <w:sz w:val="20"/>
                <w:szCs w:val="20"/>
              </w:rPr>
              <w:t xml:space="preserve">and syncs over 2G/3G to a cloud AI model trained on 2.4 million Indian patient records. The AI classifies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B3E"/>
                <w:sz w:val="20"/>
                <w:szCs w:val="20"/>
              </w:rPr>
              <w:t xml:space="preserve">disease risk as Low, Medium, or High for conditions including diabetes, hypertension, and cardiac disease,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B3E"/>
                <w:sz w:val="20"/>
                <w:szCs w:val="20"/>
              </w:rPr>
              <w:t xml:space="preserve">providing prescription templates in Hindi, Tamil, Telugu, and Bengali with no specialist required.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B3E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B3E"/>
                <w:sz w:val="20"/>
                <w:szCs w:val="20"/>
              </w:rPr>
              <w:t xml:space="preserve">The company has been operating for 3+ years, growing from 0 to 340 active clinics across Rajasthan,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B3E"/>
                <w:sz w:val="20"/>
                <w:szCs w:val="20"/>
              </w:rPr>
              <w:t xml:space="preserve">Uttar Pradesh, and Tamil Nadu with INR 85 Lakhs revenue in FY2024-25 (9 months).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  FOUNDER &amp; TEAM EXPERIENCE</w:t>
            </w:r>
          </w:p>
        </w:tc>
      </w:tr>
    </w:tbl>
    <w:p>
      <w:pPr>
        <w:spacing w:before="10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0"/>
                <w:szCs w:val="20"/>
              </w:rPr>
              <w:t xml:space="preserve">Dr. Priya Venkatesh</w:t>
            </w:r>
          </w:p>
        </w:tc>
        <w:tc>
          <w:tcPr>
            <w:tcW w:type="dxa" w:w="64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3E"/>
                <w:sz w:val="20"/>
                <w:szCs w:val="20"/>
              </w:rPr>
              <w:t xml:space="preserve">CEO &amp; Co-Founder | MBBS AIIMS Delhi (Gold Medalist) | MD PGI Chandigarh</w:t>
            </w:r>
          </w:p>
        </w:tc>
      </w:tr>
      <w:tr>
        <w:tc>
          <w:tcPr>
            <w:tcW w:type="dxa" w:w="28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4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3E"/>
                <w:sz w:val="20"/>
                <w:szCs w:val="20"/>
              </w:rPr>
              <w:t xml:space="preserve">8 years rural physician with MSF | Ex-Chief Medical Advisor Practo | Forbes 30 Under 30 Asia 2022 | 2 Patents</w:t>
            </w:r>
          </w:p>
        </w:tc>
      </w:tr>
      <w:tr>
        <w:tc>
          <w:tcPr>
            <w:tcW w:type="dxa" w:w="28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0"/>
                <w:szCs w:val="20"/>
              </w:rPr>
              <w:t xml:space="preserve">Arjun Mehta</w:t>
            </w:r>
          </w:p>
        </w:tc>
        <w:tc>
          <w:tcPr>
            <w:tcW w:type="dxa" w:w="64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3E"/>
                <w:sz w:val="20"/>
                <w:szCs w:val="20"/>
              </w:rPr>
              <w:t xml:space="preserve">CTO &amp; Co-Founder | M.Tech CS IIT Bombay (CGPA 9.2)</w:t>
            </w:r>
          </w:p>
        </w:tc>
      </w:tr>
      <w:tr>
        <w:tc>
          <w:tcPr>
            <w:tcW w:type="dxa" w:w="28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4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3E"/>
                <w:sz w:val="20"/>
                <w:szCs w:val="20"/>
              </w:rPr>
              <w:t xml:space="preserve">6 years Senior ML Engineer, Google Health | 11 peer-reviewed papers in Nature Digital Medicine &amp; Lancet | Kaggle Grandmaster</w:t>
            </w:r>
          </w:p>
        </w:tc>
      </w:tr>
      <w:tr>
        <w:tc>
          <w:tcPr>
            <w:tcW w:type="dxa" w:w="28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0"/>
                <w:szCs w:val="20"/>
              </w:rPr>
              <w:t xml:space="preserve">Sneha Rajan</w:t>
            </w:r>
          </w:p>
        </w:tc>
        <w:tc>
          <w:tcPr>
            <w:tcW w:type="dxa" w:w="64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3E"/>
                <w:sz w:val="20"/>
                <w:szCs w:val="20"/>
              </w:rPr>
              <w:t xml:space="preserve">CFO | CA + MBA ISB Hyderabad</w:t>
            </w:r>
          </w:p>
        </w:tc>
      </w:tr>
      <w:tr>
        <w:tc>
          <w:tcPr>
            <w:tcW w:type="dxa" w:w="28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4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3E"/>
                <w:sz w:val="20"/>
                <w:szCs w:val="20"/>
              </w:rPr>
              <w:t xml:space="preserve">Ex-Finance Head Portea Medical | Expert in healthcare startup fundraising and investor relations</w:t>
            </w:r>
          </w:p>
        </w:tc>
      </w:tr>
      <w:tr>
        <w:tc>
          <w:tcPr>
            <w:tcW w:type="dxa" w:w="28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0"/>
                <w:szCs w:val="20"/>
              </w:rPr>
              <w:t xml:space="preserve">Advisory Board</w:t>
            </w:r>
          </w:p>
        </w:tc>
        <w:tc>
          <w:tcPr>
            <w:tcW w:type="dxa" w:w="64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3E"/>
                <w:sz w:val="20"/>
                <w:szCs w:val="20"/>
              </w:rPr>
              <w:t xml:space="preserve">Dr. K. Srinath Reddy (PHFI) | Prof. Ashish Jha (Harvard SPH) | Rajan Anandan (Peak XV Partners)</w:t>
            </w:r>
          </w:p>
        </w:tc>
      </w:tr>
      <w:tr>
        <w:tc>
          <w:tcPr>
            <w:tcW w:type="dxa" w:w="28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0"/>
                <w:szCs w:val="20"/>
              </w:rPr>
              <w:t xml:space="preserve">Team Size</w:t>
            </w:r>
          </w:p>
        </w:tc>
        <w:tc>
          <w:tcPr>
            <w:tcW w:type="dxa" w:w="64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3E"/>
                <w:sz w:val="20"/>
                <w:szCs w:val="20"/>
              </w:rPr>
              <w:t xml:space="preserve">28 full-time employees | 6 in ML/AI | 8 in field operations | 4 in clinical</w:t>
            </w:r>
          </w:p>
        </w:tc>
      </w:tr>
      <w:tr>
        <w:tc>
          <w:tcPr>
            <w:tcW w:type="dxa" w:w="28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0"/>
                <w:szCs w:val="20"/>
              </w:rPr>
              <w:t xml:space="preserve">Combined Experience</w:t>
            </w:r>
          </w:p>
        </w:tc>
        <w:tc>
          <w:tcPr>
            <w:tcW w:type="dxa" w:w="64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3E"/>
                <w:sz w:val="20"/>
                <w:szCs w:val="20"/>
              </w:rPr>
              <w:t xml:space="preserve">14+ years domain expertise | 11 peer-reviewed publications | 2 granted patents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6E8A" w:sz="1"/>
              <w:left w:val="single" w:color="0D6E8A" w:sz="1"/>
              <w:bottom w:val="single" w:color="0D6E8A" w:sz="1"/>
              <w:right w:val="single" w:color="0D6E8A" w:sz="1"/>
            </w:tcBorders>
            <w:shd w:fill="0D6E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  TRACTION &amp; KEY METRICS</w:t>
            </w:r>
          </w:p>
        </w:tc>
      </w:tr>
    </w:tbl>
    <w:p>
      <w:pPr>
        <w:spacing w:before="10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0"/>
                <w:szCs w:val="20"/>
              </w:rPr>
              <w:t xml:space="preserve">Active Clinics</w:t>
            </w:r>
          </w:p>
        </w:tc>
        <w:tc>
          <w:tcPr>
            <w:tcW w:type="dxa" w:w="64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3E"/>
                <w:sz w:val="20"/>
                <w:szCs w:val="20"/>
              </w:rPr>
              <w:t xml:space="preserve">340 clinics across Rajasthan, Uttar Pradesh, and Tamil Nadu (December 2024)</w:t>
            </w:r>
          </w:p>
        </w:tc>
      </w:tr>
      <w:tr>
        <w:tc>
          <w:tcPr>
            <w:tcW w:type="dxa" w:w="28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0"/>
                <w:szCs w:val="20"/>
              </w:rPr>
              <w:t xml:space="preserve">Patient Scans</w:t>
            </w:r>
          </w:p>
        </w:tc>
        <w:tc>
          <w:tcPr>
            <w:tcW w:type="dxa" w:w="64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3E"/>
                <w:sz w:val="20"/>
                <w:szCs w:val="20"/>
              </w:rPr>
              <w:t xml:space="preserve">82,000+ diagnostic scans processed since launch</w:t>
            </w:r>
          </w:p>
        </w:tc>
      </w:tr>
      <w:tr>
        <w:tc>
          <w:tcPr>
            <w:tcW w:type="dxa" w:w="28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0"/>
                <w:szCs w:val="20"/>
              </w:rPr>
              <w:t xml:space="preserve">Revenue FY24-25</w:t>
            </w:r>
          </w:p>
        </w:tc>
        <w:tc>
          <w:tcPr>
            <w:tcW w:type="dxa" w:w="64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3E"/>
                <w:sz w:val="20"/>
                <w:szCs w:val="20"/>
              </w:rPr>
              <w:t xml:space="preserve">INR 85.2 Lakhs (9 months) — 175% YoY growth vs FY23-24</w:t>
            </w:r>
          </w:p>
        </w:tc>
      </w:tr>
      <w:tr>
        <w:tc>
          <w:tcPr>
            <w:tcW w:type="dxa" w:w="28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0"/>
                <w:szCs w:val="20"/>
              </w:rPr>
              <w:t xml:space="preserve">MRR</w:t>
            </w:r>
          </w:p>
        </w:tc>
        <w:tc>
          <w:tcPr>
            <w:tcW w:type="dxa" w:w="64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3E"/>
                <w:sz w:val="20"/>
                <w:szCs w:val="20"/>
              </w:rPr>
              <w:t xml:space="preserve">USD 9,860 as of December 2024</w:t>
            </w:r>
          </w:p>
        </w:tc>
      </w:tr>
      <w:tr>
        <w:tc>
          <w:tcPr>
            <w:tcW w:type="dxa" w:w="28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64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3E"/>
                <w:sz w:val="20"/>
                <w:szCs w:val="20"/>
              </w:rPr>
              <w:t xml:space="preserve">50.6% (FY24-25) — improved from 26.6% in FY22-23</w:t>
            </w:r>
          </w:p>
        </w:tc>
      </w:tr>
      <w:tr>
        <w:tc>
          <w:tcPr>
            <w:tcW w:type="dxa" w:w="28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0"/>
                <w:szCs w:val="20"/>
              </w:rPr>
              <w:t xml:space="preserve">LTV:CAC Ratio</w:t>
            </w:r>
          </w:p>
        </w:tc>
        <w:tc>
          <w:tcPr>
            <w:tcW w:type="dxa" w:w="64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3E"/>
                <w:sz w:val="20"/>
                <w:szCs w:val="20"/>
              </w:rPr>
              <w:t xml:space="preserve">14.8x | CAC INR 4,200 | Payback 5.2 months</w:t>
            </w:r>
          </w:p>
        </w:tc>
      </w:tr>
      <w:tr>
        <w:tc>
          <w:tcPr>
            <w:tcW w:type="dxa" w:w="28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0"/>
                <w:szCs w:val="20"/>
              </w:rPr>
              <w:t xml:space="preserve">Strategic MoUs</w:t>
            </w:r>
          </w:p>
        </w:tc>
        <w:tc>
          <w:tcPr>
            <w:tcW w:type="dxa" w:w="64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3E"/>
                <w:sz w:val="20"/>
                <w:szCs w:val="20"/>
              </w:rPr>
              <w:t xml:space="preserve">Apollo Hospitals (tier-2 expansion) | PMJAY pilot with 2 state governments</w:t>
            </w:r>
          </w:p>
        </w:tc>
      </w:tr>
      <w:tr>
        <w:tc>
          <w:tcPr>
            <w:tcW w:type="dxa" w:w="28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0"/>
                <w:szCs w:val="20"/>
              </w:rPr>
              <w:t xml:space="preserve">Govt Contracts</w:t>
            </w:r>
          </w:p>
        </w:tc>
        <w:tc>
          <w:tcPr>
            <w:tcW w:type="dxa" w:w="64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3E"/>
                <w:sz w:val="20"/>
                <w:szCs w:val="20"/>
              </w:rPr>
              <w:t xml:space="preserve">INR 4.2 Crore PMJAY integration contract signed</w:t>
            </w:r>
          </w:p>
        </w:tc>
      </w:tr>
      <w:tr>
        <w:tc>
          <w:tcPr>
            <w:tcW w:type="dxa" w:w="28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0"/>
                <w:szCs w:val="20"/>
              </w:rPr>
              <w:t xml:space="preserve">Prior Funding</w:t>
            </w:r>
          </w:p>
        </w:tc>
        <w:tc>
          <w:tcPr>
            <w:tcW w:type="dxa" w:w="64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3E"/>
                <w:sz w:val="20"/>
                <w:szCs w:val="20"/>
              </w:rPr>
              <w:t xml:space="preserve">INR 3.2 Crore Angel (2022) | INR 8.5 Crore Stellaris Venture Partners (2023)</w:t>
            </w:r>
          </w:p>
        </w:tc>
      </w:tr>
      <w:tr>
        <w:tc>
          <w:tcPr>
            <w:tcW w:type="dxa" w:w="28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0"/>
                <w:szCs w:val="20"/>
              </w:rPr>
              <w:t xml:space="preserve">MoM Growth</w:t>
            </w:r>
          </w:p>
        </w:tc>
        <w:tc>
          <w:tcPr>
            <w:tcW w:type="dxa" w:w="64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3E"/>
                <w:sz w:val="20"/>
                <w:szCs w:val="20"/>
              </w:rPr>
              <w:t xml:space="preserve">18% clinic additions | 22% scan volume growth (last 6 months)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  COMPETITIVE ANALYSIS</w:t>
            </w:r>
          </w:p>
        </w:tc>
      </w:tr>
    </w:tbl>
    <w:p>
      <w:pPr>
        <w:spacing w:before="10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04"/>
        <w:gridCol w:w="1404"/>
        <w:gridCol w:w="1404"/>
        <w:gridCol w:w="1404"/>
        <w:gridCol w:w="1404"/>
      </w:tblGrid>
      <w:tr>
        <w:tc>
          <w:tcPr>
            <w:tcW w:type="dxa" w:w="23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4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0D6E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NovaMed AI</w:t>
            </w:r>
          </w:p>
        </w:tc>
        <w:tc>
          <w:tcPr>
            <w:tcW w:type="dxa" w:w="1404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Niramai</w:t>
            </w:r>
          </w:p>
        </w:tc>
        <w:tc>
          <w:tcPr>
            <w:tcW w:type="dxa" w:w="1404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Tricog Health</w:t>
            </w:r>
          </w:p>
        </w:tc>
        <w:tc>
          <w:tcPr>
            <w:tcW w:type="dxa" w:w="1404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Philips RMD</w:t>
            </w:r>
          </w:p>
        </w:tc>
        <w:tc>
          <w:tcPr>
            <w:tcW w:type="dxa" w:w="1404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 Healthcare</w:t>
            </w:r>
          </w:p>
        </w:tc>
      </w:tr>
      <w:tr>
        <w:tc>
          <w:tcPr>
            <w:tcW w:type="dxa" w:w="234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Multi-disease Detection</w:t>
            </w:r>
          </w:p>
        </w:tc>
        <w:tc>
          <w:tcPr>
            <w:tcW w:type="dxa" w:w="1404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Yes</w:t>
            </w:r>
          </w:p>
        </w:tc>
        <w:tc>
          <w:tcPr>
            <w:tcW w:type="dxa" w:w="1404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No (breast)</w:t>
            </w:r>
          </w:p>
        </w:tc>
        <w:tc>
          <w:tcPr>
            <w:tcW w:type="dxa" w:w="1404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No (ECG)</w:t>
            </w:r>
          </w:p>
        </w:tc>
        <w:tc>
          <w:tcPr>
            <w:tcW w:type="dxa" w:w="1404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Partial</w:t>
            </w:r>
          </w:p>
        </w:tc>
        <w:tc>
          <w:tcPr>
            <w:tcW w:type="dxa" w:w="1404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Partial</w:t>
            </w:r>
          </w:p>
        </w:tc>
      </w:tr>
      <w:tr>
        <w:tc>
          <w:tcPr>
            <w:tcW w:type="dxa" w:w="234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Offline / 2G/3G</w:t>
            </w:r>
          </w:p>
        </w:tc>
        <w:tc>
          <w:tcPr>
            <w:tcW w:type="dxa" w:w="1404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Yes</w:t>
            </w:r>
          </w:p>
        </w:tc>
        <w:tc>
          <w:tcPr>
            <w:tcW w:type="dxa" w:w="1404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No</w:t>
            </w:r>
          </w:p>
        </w:tc>
        <w:tc>
          <w:tcPr>
            <w:tcW w:type="dxa" w:w="1404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No</w:t>
            </w:r>
          </w:p>
        </w:tc>
        <w:tc>
          <w:tcPr>
            <w:tcW w:type="dxa" w:w="1404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No</w:t>
            </w:r>
          </w:p>
        </w:tc>
        <w:tc>
          <w:tcPr>
            <w:tcW w:type="dxa" w:w="1404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Device Cost</w:t>
            </w:r>
          </w:p>
        </w:tc>
        <w:tc>
          <w:tcPr>
            <w:tcW w:type="dxa" w:w="1404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USD 120</w:t>
            </w:r>
          </w:p>
        </w:tc>
        <w:tc>
          <w:tcPr>
            <w:tcW w:type="dxa" w:w="1404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USD 300+</w:t>
            </w:r>
          </w:p>
        </w:tc>
        <w:tc>
          <w:tcPr>
            <w:tcW w:type="dxa" w:w="1404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USD 450+</w:t>
            </w:r>
          </w:p>
        </w:tc>
        <w:tc>
          <w:tcPr>
            <w:tcW w:type="dxa" w:w="1404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USD 800+</w:t>
            </w:r>
          </w:p>
        </w:tc>
        <w:tc>
          <w:tcPr>
            <w:tcW w:type="dxa" w:w="1404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USD 1200+</w:t>
            </w:r>
          </w:p>
        </w:tc>
      </w:tr>
      <w:tr>
        <w:tc>
          <w:tcPr>
            <w:tcW w:type="dxa" w:w="234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Indian Patient Data</w:t>
            </w:r>
          </w:p>
        </w:tc>
        <w:tc>
          <w:tcPr>
            <w:tcW w:type="dxa" w:w="1404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2.4M records</w:t>
            </w:r>
          </w:p>
        </w:tc>
        <w:tc>
          <w:tcPr>
            <w:tcW w:type="dxa" w:w="1404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&lt;50K</w:t>
            </w:r>
          </w:p>
        </w:tc>
        <w:tc>
          <w:tcPr>
            <w:tcW w:type="dxa" w:w="1404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&lt;100K</w:t>
            </w:r>
          </w:p>
        </w:tc>
        <w:tc>
          <w:tcPr>
            <w:tcW w:type="dxa" w:w="1404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Global</w:t>
            </w:r>
          </w:p>
        </w:tc>
        <w:tc>
          <w:tcPr>
            <w:tcW w:type="dxa" w:w="1404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Global</w:t>
            </w:r>
          </w:p>
        </w:tc>
      </w:tr>
      <w:tr>
        <w:tc>
          <w:tcPr>
            <w:tcW w:type="dxa" w:w="234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Local Language Support</w:t>
            </w:r>
          </w:p>
        </w:tc>
        <w:tc>
          <w:tcPr>
            <w:tcW w:type="dxa" w:w="1404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4 languages</w:t>
            </w:r>
          </w:p>
        </w:tc>
        <w:tc>
          <w:tcPr>
            <w:tcW w:type="dxa" w:w="1404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None</w:t>
            </w:r>
          </w:p>
        </w:tc>
        <w:tc>
          <w:tcPr>
            <w:tcW w:type="dxa" w:w="1404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None</w:t>
            </w:r>
          </w:p>
        </w:tc>
        <w:tc>
          <w:tcPr>
            <w:tcW w:type="dxa" w:w="1404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None</w:t>
            </w:r>
          </w:p>
        </w:tc>
        <w:tc>
          <w:tcPr>
            <w:tcW w:type="dxa" w:w="1404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4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Rural Connectivity Focus</w:t>
            </w:r>
          </w:p>
        </w:tc>
        <w:tc>
          <w:tcPr>
            <w:tcW w:type="dxa" w:w="1404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Core feature</w:t>
            </w:r>
          </w:p>
        </w:tc>
        <w:tc>
          <w:tcPr>
            <w:tcW w:type="dxa" w:w="1404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No</w:t>
            </w:r>
          </w:p>
        </w:tc>
        <w:tc>
          <w:tcPr>
            <w:tcW w:type="dxa" w:w="1404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No</w:t>
            </w:r>
          </w:p>
        </w:tc>
        <w:tc>
          <w:tcPr>
            <w:tcW w:type="dxa" w:w="1404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No</w:t>
            </w:r>
          </w:p>
        </w:tc>
        <w:tc>
          <w:tcPr>
            <w:tcW w:type="dxa" w:w="1404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No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6.  RISK FACTORS &amp; MITIGATIONS</w:t>
            </w:r>
          </w:p>
        </w:tc>
      </w:tr>
    </w:tbl>
    <w:p>
      <w:pPr>
        <w:spacing w:before="10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5760"/>
      </w:tblGrid>
      <w:tr>
        <w:tc>
          <w:tcPr>
            <w:tcW w:type="dxa" w:w="216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4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76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1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Regulatory — CDSCO Class B approval pending</w:t>
            </w:r>
          </w:p>
        </w:tc>
        <w:tc>
          <w:tcPr>
            <w:tcW w:type="dxa" w:w="144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8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3E"/>
                <w:sz w:val="19"/>
                <w:szCs w:val="19"/>
              </w:rPr>
              <w:t xml:space="preserve">Operating under research exemption. CDSCO filing submitted Q4 2025. AZB &amp; Partners on retainer. Expected approval Q2 2026.</w:t>
            </w:r>
          </w:p>
        </w:tc>
      </w:tr>
      <w:tr>
        <w:tc>
          <w:tcPr>
            <w:tcW w:type="dxa" w:w="21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Data Privacy — DPDP Act 2023 compliance</w:t>
            </w:r>
          </w:p>
        </w:tc>
        <w:tc>
          <w:tcPr>
            <w:tcW w:type="dxa" w:w="144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8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3E"/>
                <w:sz w:val="19"/>
                <w:szCs w:val="19"/>
              </w:rPr>
              <w:t xml:space="preserve">DPO appointed, ISO 27001 certification in progress, data anonymisation protocol deployed.</w:t>
            </w:r>
          </w:p>
        </w:tc>
      </w:tr>
      <w:tr>
        <w:tc>
          <w:tcPr>
            <w:tcW w:type="dxa" w:w="21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Competition — Global players entering rural India</w:t>
            </w:r>
          </w:p>
        </w:tc>
        <w:tc>
          <w:tcPr>
            <w:tcW w:type="dxa" w:w="144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Low</w:t>
            </w:r>
          </w:p>
        </w:tc>
        <w:tc>
          <w:tcPr>
            <w:tcW w:type="dxa" w:w="57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3E"/>
                <w:sz w:val="19"/>
                <w:szCs w:val="19"/>
              </w:rPr>
              <w:t xml:space="preserve">Head start of 4 years, proprietary dataset of 2.4M records, deep rural distribution network impossible to replicate quickly.</w:t>
            </w:r>
          </w:p>
        </w:tc>
      </w:tr>
      <w:tr>
        <w:tc>
          <w:tcPr>
            <w:tcW w:type="dxa" w:w="21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Hardware Supply — Taiwan chip dependency</w:t>
            </w:r>
          </w:p>
        </w:tc>
        <w:tc>
          <w:tcPr>
            <w:tcW w:type="dxa" w:w="144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Low</w:t>
            </w:r>
          </w:p>
        </w:tc>
        <w:tc>
          <w:tcPr>
            <w:tcW w:type="dxa" w:w="57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3E"/>
                <w:sz w:val="19"/>
                <w:szCs w:val="19"/>
              </w:rPr>
              <w:t xml:space="preserve">Maintained 6-month chip inventory buffer, secondary supplier identified in South Korea.</w:t>
            </w:r>
          </w:p>
        </w:tc>
      </w:tr>
      <w:tr>
        <w:tc>
          <w:tcPr>
            <w:tcW w:type="dxa" w:w="21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Key Person Risk — Co-founder dependency</w:t>
            </w:r>
          </w:p>
        </w:tc>
        <w:tc>
          <w:tcPr>
            <w:tcW w:type="dxa" w:w="144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8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3E"/>
                <w:sz w:val="19"/>
                <w:szCs w:val="19"/>
              </w:rPr>
              <w:t xml:space="preserve">ESOP pool of 12% established, succession planning documented, second-tier leadership built out.</w:t>
            </w:r>
          </w:p>
        </w:tc>
      </w:tr>
      <w:tr>
        <w:tc>
          <w:tcPr>
            <w:tcW w:type="dxa" w:w="21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Technology Risk — AI model performance at scale</w:t>
            </w:r>
          </w:p>
        </w:tc>
        <w:tc>
          <w:tcPr>
            <w:tcW w:type="dxa" w:w="144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Low</w:t>
            </w:r>
          </w:p>
        </w:tc>
        <w:tc>
          <w:tcPr>
            <w:tcW w:type="dxa" w:w="57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3E"/>
                <w:sz w:val="19"/>
                <w:szCs w:val="19"/>
              </w:rPr>
              <w:t xml:space="preserve">Model validated on 82,000 real-world scans with 94.3% accuracy. Continuous retraining pipeline in place.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6E8A" w:sz="1"/>
              <w:left w:val="single" w:color="0D6E8A" w:sz="1"/>
              <w:bottom w:val="single" w:color="0D6E8A" w:sz="1"/>
              <w:right w:val="single" w:color="0D6E8A" w:sz="1"/>
            </w:tcBorders>
            <w:shd w:fill="0D6E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7.  USE OF FUNDS — USD 3,000,000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5F7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B3E"/>
                <w:sz w:val="20"/>
                <w:szCs w:val="20"/>
              </w:rPr>
              <w:t xml:space="preserve">35% — Sales &amp; Distribution (USD 1,050,000)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B3E"/>
                <w:sz w:val="20"/>
                <w:szCs w:val="20"/>
              </w:rPr>
              <w:t xml:space="preserve">      5 new states, 40 field sales representatives, clinic onboarding infrastructure &amp; training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B3E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B3E"/>
                <w:sz w:val="20"/>
                <w:szCs w:val="20"/>
              </w:rPr>
              <w:t xml:space="preserve">30% — Product R&amp;D (USD 900,000)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B3E"/>
                <w:sz w:val="20"/>
                <w:szCs w:val="20"/>
              </w:rPr>
              <w:t xml:space="preserve">      NovaScan v2 hardware (ECG + SpO2), next-gen firmware, CDSCO device certification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B3E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B3E"/>
                <w:sz w:val="20"/>
                <w:szCs w:val="20"/>
              </w:rPr>
              <w:t xml:space="preserve">20% — Technology Infrastructure (USD 600,000)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B3E"/>
                <w:sz w:val="20"/>
                <w:szCs w:val="20"/>
              </w:rPr>
              <w:t xml:space="preserve">      AWS scale-up, HIPAA/DPDP Act compliance, AI model retraining pipeline, data security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B3E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B3E"/>
                <w:sz w:val="20"/>
                <w:szCs w:val="20"/>
              </w:rPr>
              <w:t xml:space="preserve">15% — Operations (USD 450,000)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B3E"/>
                <w:sz w:val="20"/>
                <w:szCs w:val="20"/>
              </w:rPr>
              <w:t xml:space="preserve">      Team growth from 28 to 65 employees, working capital buffer, G&amp;A infrastructure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8.  18-MONTH PRODUCT &amp; BUSINESS ROADMAP</w:t>
            </w:r>
          </w:p>
        </w:tc>
      </w:tr>
    </w:tbl>
    <w:p>
      <w:pPr>
        <w:spacing w:before="10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0"/>
                <w:szCs w:val="20"/>
              </w:rPr>
              <w:t xml:space="preserve">Q1 2026 (Jan–Mar)</w:t>
            </w:r>
          </w:p>
        </w:tc>
        <w:tc>
          <w:tcPr>
            <w:tcW w:type="dxa" w:w="64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3E"/>
                <w:sz w:val="20"/>
                <w:szCs w:val="20"/>
              </w:rPr>
              <w:t xml:space="preserve">Close Series A | Hire 40 field reps | Expand to UP, Bihar, Madhya Pradesh</w:t>
            </w:r>
          </w:p>
        </w:tc>
      </w:tr>
      <w:tr>
        <w:tc>
          <w:tcPr>
            <w:tcW w:type="dxa" w:w="28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0"/>
                <w:szCs w:val="20"/>
              </w:rPr>
              <w:t xml:space="preserve">Q2 2026 (Apr–Jun)</w:t>
            </w:r>
          </w:p>
        </w:tc>
        <w:tc>
          <w:tcPr>
            <w:tcW w:type="dxa" w:w="64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3E"/>
                <w:sz w:val="20"/>
                <w:szCs w:val="20"/>
              </w:rPr>
              <w:t xml:space="preserve">Launch NovaScan v2 (ECG + SpO2) | CDSCO Class B Approval | 550 clinics</w:t>
            </w:r>
          </w:p>
        </w:tc>
      </w:tr>
      <w:tr>
        <w:tc>
          <w:tcPr>
            <w:tcW w:type="dxa" w:w="28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0"/>
                <w:szCs w:val="20"/>
              </w:rPr>
              <w:t xml:space="preserve">Q3 2026 (Jul–Sep)</w:t>
            </w:r>
          </w:p>
        </w:tc>
        <w:tc>
          <w:tcPr>
            <w:tcW w:type="dxa" w:w="64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3E"/>
                <w:sz w:val="20"/>
                <w:szCs w:val="20"/>
              </w:rPr>
              <w:t xml:space="preserve">Reach 1,000 active clinics | Insurance data product with 3 partners live</w:t>
            </w:r>
          </w:p>
        </w:tc>
      </w:tr>
      <w:tr>
        <w:tc>
          <w:tcPr>
            <w:tcW w:type="dxa" w:w="28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0"/>
                <w:szCs w:val="20"/>
              </w:rPr>
              <w:t xml:space="preserve">Q4 2026 (Oct–Dec)</w:t>
            </w:r>
          </w:p>
        </w:tc>
        <w:tc>
          <w:tcPr>
            <w:tcW w:type="dxa" w:w="64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3E"/>
                <w:sz w:val="20"/>
                <w:szCs w:val="20"/>
              </w:rPr>
              <w:t xml:space="preserve">Southeast Asia pilot (Bangladesh, Sri Lanka) | File PCT international patent</w:t>
            </w:r>
          </w:p>
        </w:tc>
      </w:tr>
      <w:tr>
        <w:tc>
          <w:tcPr>
            <w:tcW w:type="dxa" w:w="28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0"/>
                <w:szCs w:val="20"/>
              </w:rPr>
              <w:t xml:space="preserve">Q1 2027 (Jan–Mar)</w:t>
            </w:r>
          </w:p>
        </w:tc>
        <w:tc>
          <w:tcPr>
            <w:tcW w:type="dxa" w:w="64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3E"/>
                <w:sz w:val="20"/>
                <w:szCs w:val="20"/>
              </w:rPr>
              <w:t xml:space="preserve">Series B preparation | EBITDA breakeven at 2,200 clinics | 12 states</w:t>
            </w:r>
          </w:p>
        </w:tc>
      </w:tr>
      <w:tr>
        <w:tc>
          <w:tcPr>
            <w:tcW w:type="dxa" w:w="28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0"/>
                <w:szCs w:val="20"/>
              </w:rPr>
              <w:t xml:space="preserve">FY2027-28</w:t>
            </w:r>
          </w:p>
        </w:tc>
        <w:tc>
          <w:tcPr>
            <w:tcW w:type="dxa" w:w="64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3E"/>
                <w:sz w:val="20"/>
                <w:szCs w:val="20"/>
              </w:rPr>
              <w:t xml:space="preserve">5,000 clinics | USD 2.1M revenue | 3 international markets | 60% gross margin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9.  INVESTOR COMMENTS &amp; FEEDBACK</w:t>
            </w:r>
          </w:p>
        </w:tc>
      </w:tr>
    </w:tbl>
    <w:p>
      <w:pPr>
        <w:spacing w:before="12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single" w:color="F4A700" w:sz="1"/>
              <w:left w:val="single" w:color="F4A700" w:sz="1"/>
              <w:bottom w:val="single" w:color="F4A700" w:sz="1"/>
              <w:right w:val="single" w:color="F4A700" w:sz="1"/>
            </w:tcBorders>
            <w:shd w:fill="F4A700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80"/>
            <w:tcBorders>
              <w:top w:val="single" w:color="D0DCF0" w:sz="1"/>
              <w:left w:val="single" w:color="F4A700" w:sz="1"/>
              <w:bottom w:val="single" w:color="D0DCF0" w:sz="1"/>
              <w:right w:val="single" w:color="D0DCF0" w:sz="1"/>
            </w:tcBorders>
            <w:shd w:fill="F5F7F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0D1B3E"/>
                <w:sz w:val="20"/>
                <w:szCs w:val="20"/>
              </w:rPr>
              <w:t xml:space="preserve">"Strong diagnostic accuracy at 94.3% is impressive for a hardware+AI combination at USD 120 price point. LTV:CAC of 14.8x is exceptional. Key concern is CDSCO regulatory timeline and path to EBITDA breakeven. Would want to see monthly cohort retention data before committing."</w:t>
            </w:r>
          </w:p>
          <w:p>
            <w:r>
              <w:rPr>
                <w:rFonts w:ascii="Arial" w:cs="Arial" w:eastAsia="Arial" w:hAnsi="Arial"/>
                <w:b/>
                <w:bCs/>
                <w:color w:val="0D6E8A"/>
                <w:sz w:val="18"/>
                <w:szCs w:val="18"/>
              </w:rPr>
              <w:t xml:space="preserve">— Anand Krishnan, Elevation Capital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single" w:color="F4A700" w:sz="1"/>
              <w:left w:val="single" w:color="F4A700" w:sz="1"/>
              <w:bottom w:val="single" w:color="F4A700" w:sz="1"/>
              <w:right w:val="single" w:color="F4A700" w:sz="1"/>
            </w:tcBorders>
            <w:shd w:fill="F4A700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80"/>
            <w:tcBorders>
              <w:top w:val="single" w:color="D0DCF0" w:sz="1"/>
              <w:left w:val="single" w:color="F4A700" w:sz="1"/>
              <w:bottom w:val="single" w:color="D0DCF0" w:sz="1"/>
              <w:right w:val="single" w:color="D0DCF0" w:sz="1"/>
            </w:tcBorders>
            <w:shd w:fill="F5F7F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0D1B3E"/>
                <w:sz w:val="20"/>
                <w:szCs w:val="20"/>
              </w:rPr>
              <w:t xml:space="preserve">"The rural India opportunity is real and massively underserved. Team credentials are excellent. The offline-first architecture is the right call for the market. We would like to understand competitive moat more deeply — specifically how defensible the 2.4M patient dataset is against replication by well-funded competitors."</w:t>
            </w:r>
          </w:p>
          <w:p>
            <w:r>
              <w:rPr>
                <w:rFonts w:ascii="Arial" w:cs="Arial" w:eastAsia="Arial" w:hAnsi="Arial"/>
                <w:b/>
                <w:bCs/>
                <w:color w:val="0D6E8A"/>
                <w:sz w:val="18"/>
                <w:szCs w:val="18"/>
              </w:rPr>
              <w:t xml:space="preserve">— Rahul Chandra, Lightspeed India Partners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single" w:color="F4A700" w:sz="1"/>
              <w:left w:val="single" w:color="F4A700" w:sz="1"/>
              <w:bottom w:val="single" w:color="F4A700" w:sz="1"/>
              <w:right w:val="single" w:color="F4A700" w:sz="1"/>
            </w:tcBorders>
            <w:shd w:fill="F4A700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80"/>
            <w:tcBorders>
              <w:top w:val="single" w:color="D0DCF0" w:sz="1"/>
              <w:left w:val="single" w:color="F4A700" w:sz="1"/>
              <w:bottom w:val="single" w:color="D0DCF0" w:sz="1"/>
              <w:right w:val="single" w:color="D0DCF0" w:sz="1"/>
            </w:tcBorders>
            <w:shd w:fill="F5F7F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0D1B3E"/>
                <w:sz w:val="20"/>
                <w:szCs w:val="20"/>
              </w:rPr>
              <w:t xml:space="preserve">"This is one of the most authentic rural healthtech pitches we have seen. Priya's clinical credibility combined with Arjun's ML depth is a rare combination. Revenue traction is real. Our concern is burn rate at scale — we would like to model out the Series B requirement before this round closes."</w:t>
            </w:r>
          </w:p>
          <w:p>
            <w:r>
              <w:rPr>
                <w:rFonts w:ascii="Arial" w:cs="Arial" w:eastAsia="Arial" w:hAnsi="Arial"/>
                <w:b/>
                <w:bCs/>
                <w:color w:val="0D6E8A"/>
                <w:sz w:val="18"/>
                <w:szCs w:val="18"/>
              </w:rPr>
              <w:t xml:space="preserve">— Karthik Reddy, Blume Ventures</w:t>
            </w:r>
          </w:p>
        </w:tc>
      </w:tr>
    </w:tbl>
    <w:p>
      <w:pPr>
        <w:spacing w:before="200"/>
      </w:pP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CF0" w:sz="4" w:space="1"/>
      </w:pBdr>
      <w:tabs>
        <w:tab w:val="right" w:pos="9026"/>
      </w:tabs>
    </w:pPr>
    <w:r>
      <w:rPr>
        <w:rFonts w:ascii="Arial" w:cs="Arial" w:eastAsia="Arial" w:hAnsi="Arial"/>
        <w:color w:val="64748B"/>
        <w:sz w:val="16"/>
        <w:szCs w:val="16"/>
      </w:rPr>
      <w:t xml:space="preserve">NovaMed AI Pvt. Ltd.  |  Bangalore, India  |  DPIIT No. DIPP132847</w:t>
    </w:r>
    <w:r>
      <w:rPr>
        <w:rFonts w:ascii="Arial" w:cs="Arial" w:eastAsia="Arial" w:hAnsi="Arial"/>
        <w:color w:val="64748B"/>
        <w:sz w:val="16"/>
        <w:szCs w:val="16"/>
      </w:rPr>
      <w:t xml:space="preserve">	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</w:r>
    <w:r>
      <w:rPr>
        <w:rFonts w:ascii="Arial" w:cs="Arial" w:eastAsia="Arial" w:hAnsi="Arial"/>
        <w:color w:val="64748B"/>
        <w:sz w:val="16"/>
        <w:szCs w:val="16"/>
      </w:rPr>
      <w:instrText xml:space="preserve"> PAGE </w:instrText>
    </w:r>
    <w:r>
      <w:rPr>
        <w:rFonts w:ascii="Arial" w:cs="Arial" w:eastAsia="Arial" w:hAnsi="Arial"/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4A700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0D1B3E"/>
        <w:sz w:val="18"/>
        <w:szCs w:val="18"/>
      </w:rPr>
      <w:t xml:space="preserve">NovaMed AI — Company Profile &amp; Investor Comments</w:t>
    </w:r>
    <w:r>
      <w:rPr>
        <w:rFonts w:ascii="Arial" w:cs="Arial" w:eastAsia="Arial" w:hAnsi="Arial"/>
        <w:color w:val="F4A700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D1B3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A3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2026-03-01T18:33:50.597Z</dcterms:created>
  <dcterms:modified xsi:type="dcterms:W3CDTF">2026-03-01T18:33:50.598Z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