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rFonts w:ascii="Calibri" w:cs="Calibri" w:eastAsia="Calibri" w:hAnsi="Calibri"/>
          <w:b/>
          <w:bCs/>
          <w:color w:val="0D1B3E"/>
          <w:sz w:val="52"/>
          <w:szCs w:val="52"/>
        </w:rPr>
        <w:t xml:space="preserve">NOVAMED AI</w:t>
      </w:r>
    </w:p>
    <w:p>
      <w:pPr>
        <w:spacing w:after="60"/>
        <w:jc w:val="center"/>
      </w:pPr>
      <w:r>
        <w:rPr>
          <w:rFonts w:ascii="Calibri" w:cs="Calibri" w:eastAsia="Calibri" w:hAnsi="Calibri"/>
          <w:color w:val="0D6E8A"/>
          <w:sz w:val="26"/>
          <w:szCs w:val="26"/>
        </w:rPr>
        <w:t xml:space="preserve">Investor Background Document &amp; Due Diligence Profile</w:t>
      </w:r>
    </w:p>
    <w:p>
      <w:pPr>
        <w:spacing w:after="400"/>
        <w:jc w:val="center"/>
      </w:pPr>
      <w:r>
        <w:rPr>
          <w:rFonts w:ascii="Calibri" w:cs="Calibri" w:eastAsia="Calibri" w:hAnsi="Calibri"/>
          <w:color w:val="888888"/>
          <w:sz w:val="22"/>
          <w:szCs w:val="22"/>
        </w:rPr>
        <w:t xml:space="preserve">Series A — $3,000,000 | February 2026 | CONFIDENTIAL</w:t>
      </w:r>
    </w:p>
    <w:p>
      <w:pPr>
        <w:pStyle w:val="Heading1"/>
        <w:shd w:fill="0D1B3E" w:color="0D1B3E" w:val="solid"/>
        <w:spacing w:before="280" w:after="120"/>
        <w:rPr>
          <w:rFonts w:ascii="Calibri" w:cs="Calibri" w:eastAsia="Calibri" w:hAnsi="Calibri"/>
          <w:b/>
          <w:bCs/>
          <w:color w:val="FFFFFF"/>
          <w:sz w:val="28"/>
          <w:szCs w:val="28"/>
        </w:rPr>
      </w:pPr>
      <w:r>
        <w:t xml:space="preserve">1. COMPANY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Company Name</w:t>
            </w:r>
          </w:p>
        </w:tc>
        <w:tc>
          <w:tcPr>
            <w:tcW w:type="pct" w:w="65%"/>
            <w:shd w:fill="FFFFFF" w:color="FFFFFF" w:val="solid"/>
          </w:tcPr>
          <w:p>
            <w:r>
              <w:rPr>
                <w:rFonts w:ascii="Calibri" w:cs="Calibri" w:eastAsia="Calibri" w:hAnsi="Calibri"/>
                <w:sz w:val="19"/>
                <w:szCs w:val="19"/>
              </w:rPr>
              <w:t xml:space="preserve">NovaMed AI Private Limited</w:t>
            </w:r>
          </w:p>
        </w:tc>
      </w:tr>
      <w:tr>
        <w:tc>
          <w:tcPr>
            <w:tcW w:type="pct" w:w="35%"/>
            <w:shd w:fill="FFFFFF" w:color="FFFFFF" w:val="solid"/>
          </w:tcPr>
          <w:p>
            <w:r>
              <w:rPr>
                <w:rFonts w:ascii="Calibri" w:cs="Calibri" w:eastAsia="Calibri" w:hAnsi="Calibri"/>
                <w:b/>
                <w:bCs/>
                <w:color w:val="0D1B3E"/>
                <w:sz w:val="19"/>
                <w:szCs w:val="19"/>
              </w:rPr>
              <w:t xml:space="preserve">CIN</w:t>
            </w:r>
          </w:p>
        </w:tc>
        <w:tc>
          <w:tcPr>
            <w:tcW w:type="pct" w:w="65%"/>
            <w:shd w:fill="FFFFFF" w:color="FFFFFF" w:val="solid"/>
          </w:tcPr>
          <w:p>
            <w:r>
              <w:rPr>
                <w:rFonts w:ascii="Calibri" w:cs="Calibri" w:eastAsia="Calibri" w:hAnsi="Calibri"/>
                <w:sz w:val="19"/>
                <w:szCs w:val="19"/>
              </w:rPr>
              <w:t xml:space="preserve">U85110MH2021PTC364782</w:t>
            </w:r>
          </w:p>
        </w:tc>
      </w:tr>
      <w:tr>
        <w:tc>
          <w:tcPr>
            <w:tcW w:type="pct" w:w="35%"/>
            <w:shd w:fill="F0F4F8" w:color="F0F4F8" w:val="solid"/>
          </w:tcPr>
          <w:p>
            <w:r>
              <w:rPr>
                <w:rFonts w:ascii="Calibri" w:cs="Calibri" w:eastAsia="Calibri" w:hAnsi="Calibri"/>
                <w:b/>
                <w:bCs/>
                <w:color w:val="0D1B3E"/>
                <w:sz w:val="19"/>
                <w:szCs w:val="19"/>
              </w:rPr>
              <w:t xml:space="preserve">Incorporation Date</w:t>
            </w:r>
          </w:p>
        </w:tc>
        <w:tc>
          <w:tcPr>
            <w:tcW w:type="pct" w:w="65%"/>
            <w:shd w:fill="FFFFFF" w:color="FFFFFF" w:val="solid"/>
          </w:tcPr>
          <w:p>
            <w:r>
              <w:rPr>
                <w:rFonts w:ascii="Calibri" w:cs="Calibri" w:eastAsia="Calibri" w:hAnsi="Calibri"/>
                <w:sz w:val="19"/>
                <w:szCs w:val="19"/>
              </w:rPr>
              <w:t xml:space="preserve">March 15, 2021 — Mumbai, Maharashtra</w:t>
            </w:r>
          </w:p>
        </w:tc>
      </w:tr>
      <w:tr>
        <w:tc>
          <w:tcPr>
            <w:tcW w:type="pct" w:w="35%"/>
            <w:shd w:fill="FFFFFF" w:color="FFFFFF" w:val="solid"/>
          </w:tcPr>
          <w:p>
            <w:r>
              <w:rPr>
                <w:rFonts w:ascii="Calibri" w:cs="Calibri" w:eastAsia="Calibri" w:hAnsi="Calibri"/>
                <w:b/>
                <w:bCs/>
                <w:color w:val="0D1B3E"/>
                <w:sz w:val="19"/>
                <w:szCs w:val="19"/>
              </w:rPr>
              <w:t xml:space="preserve">Registered Office</w:t>
            </w:r>
          </w:p>
        </w:tc>
        <w:tc>
          <w:tcPr>
            <w:tcW w:type="pct" w:w="65%"/>
            <w:shd w:fill="FFFFFF" w:color="FFFFFF" w:val="solid"/>
          </w:tcPr>
          <w:p>
            <w:r>
              <w:rPr>
                <w:rFonts w:ascii="Calibri" w:cs="Calibri" w:eastAsia="Calibri" w:hAnsi="Calibri"/>
                <w:sz w:val="19"/>
                <w:szCs w:val="19"/>
              </w:rPr>
              <w:t xml:space="preserve">401-B, Bandra Kurla Complex, Mumbai — 400051</w:t>
            </w:r>
          </w:p>
        </w:tc>
      </w:tr>
      <w:tr>
        <w:tc>
          <w:tcPr>
            <w:tcW w:type="pct" w:w="35%"/>
            <w:shd w:fill="F0F4F8" w:color="F0F4F8" w:val="solid"/>
          </w:tcPr>
          <w:p>
            <w:r>
              <w:rPr>
                <w:rFonts w:ascii="Calibri" w:cs="Calibri" w:eastAsia="Calibri" w:hAnsi="Calibri"/>
                <w:b/>
                <w:bCs/>
                <w:color w:val="0D1B3E"/>
                <w:sz w:val="19"/>
                <w:szCs w:val="19"/>
              </w:rPr>
              <w:t xml:space="preserve">Sector</w:t>
            </w:r>
          </w:p>
        </w:tc>
        <w:tc>
          <w:tcPr>
            <w:tcW w:type="pct" w:w="65%"/>
            <w:shd w:fill="FFFFFF" w:color="FFFFFF" w:val="solid"/>
          </w:tcPr>
          <w:p>
            <w:r>
              <w:rPr>
                <w:rFonts w:ascii="Calibri" w:cs="Calibri" w:eastAsia="Calibri" w:hAnsi="Calibri"/>
                <w:sz w:val="19"/>
                <w:szCs w:val="19"/>
              </w:rPr>
              <w:t xml:space="preserve">HealthTech / MedTech / AI Diagnostics</w:t>
            </w:r>
          </w:p>
        </w:tc>
      </w:tr>
      <w:tr>
        <w:tc>
          <w:tcPr>
            <w:tcW w:type="pct" w:w="35%"/>
            <w:shd w:fill="FFFFFF" w:color="FFFFFF" w:val="solid"/>
          </w:tcPr>
          <w:p>
            <w:r>
              <w:rPr>
                <w:rFonts w:ascii="Calibri" w:cs="Calibri" w:eastAsia="Calibri" w:hAnsi="Calibri"/>
                <w:b/>
                <w:bCs/>
                <w:color w:val="0D1B3E"/>
                <w:sz w:val="19"/>
                <w:szCs w:val="19"/>
              </w:rPr>
              <w:t xml:space="preserve">Stage</w:t>
            </w:r>
          </w:p>
        </w:tc>
        <w:tc>
          <w:tcPr>
            <w:tcW w:type="pct" w:w="65%"/>
            <w:shd w:fill="FFFFFF" w:color="FFFFFF" w:val="solid"/>
          </w:tcPr>
          <w:p>
            <w:r>
              <w:rPr>
                <w:rFonts w:ascii="Calibri" w:cs="Calibri" w:eastAsia="Calibri" w:hAnsi="Calibri"/>
                <w:sz w:val="19"/>
                <w:szCs w:val="19"/>
              </w:rPr>
              <w:t xml:space="preserve">Series A — Product-Market Fit Achieved</w:t>
            </w:r>
          </w:p>
        </w:tc>
      </w:tr>
      <w:tr>
        <w:tc>
          <w:tcPr>
            <w:tcW w:type="pct" w:w="35%"/>
            <w:shd w:fill="F0F4F8" w:color="F0F4F8" w:val="solid"/>
          </w:tcPr>
          <w:p>
            <w:r>
              <w:rPr>
                <w:rFonts w:ascii="Calibri" w:cs="Calibri" w:eastAsia="Calibri" w:hAnsi="Calibri"/>
                <w:b/>
                <w:bCs/>
                <w:color w:val="0D1B3E"/>
                <w:sz w:val="19"/>
                <w:szCs w:val="19"/>
              </w:rPr>
              <w:t xml:space="preserve">Website</w:t>
            </w:r>
          </w:p>
        </w:tc>
        <w:tc>
          <w:tcPr>
            <w:tcW w:type="pct" w:w="65%"/>
            <w:shd w:fill="FFFFFF" w:color="FFFFFF" w:val="solid"/>
          </w:tcPr>
          <w:p>
            <w:r>
              <w:rPr>
                <w:rFonts w:ascii="Calibri" w:cs="Calibri" w:eastAsia="Calibri" w:hAnsi="Calibri"/>
                <w:sz w:val="19"/>
                <w:szCs w:val="19"/>
              </w:rPr>
              <w:t xml:space="preserve">www.novamed.ai (launch Q2 FY26)</w:t>
            </w:r>
          </w:p>
        </w:tc>
      </w:tr>
      <w:tr>
        <w:tc>
          <w:tcPr>
            <w:tcW w:type="pct" w:w="35%"/>
            <w:shd w:fill="FFFFFF" w:color="FFFFFF" w:val="solid"/>
          </w:tcPr>
          <w:p>
            <w:r>
              <w:rPr>
                <w:rFonts w:ascii="Calibri" w:cs="Calibri" w:eastAsia="Calibri" w:hAnsi="Calibri"/>
                <w:b/>
                <w:bCs/>
                <w:color w:val="0D1B3E"/>
                <w:sz w:val="19"/>
                <w:szCs w:val="19"/>
              </w:rPr>
              <w:t xml:space="preserve">DPIIT Startup Recognition</w:t>
            </w:r>
          </w:p>
        </w:tc>
        <w:tc>
          <w:tcPr>
            <w:tcW w:type="pct" w:w="65%"/>
            <w:shd w:fill="FFFFFF" w:color="FFFFFF" w:val="solid"/>
          </w:tcPr>
          <w:p>
            <w:r>
              <w:rPr>
                <w:rFonts w:ascii="Calibri" w:cs="Calibri" w:eastAsia="Calibri" w:hAnsi="Calibri"/>
                <w:sz w:val="19"/>
                <w:szCs w:val="19"/>
              </w:rPr>
              <w:t xml:space="preserve">DIPP131847 — Recognized Jan 2022</w:t>
            </w:r>
          </w:p>
        </w:tc>
      </w:tr>
      <w:tr>
        <w:tc>
          <w:tcPr>
            <w:tcW w:type="pct" w:w="35%"/>
            <w:shd w:fill="F0F4F8" w:color="F0F4F8" w:val="solid"/>
          </w:tcPr>
          <w:p>
            <w:r>
              <w:rPr>
                <w:rFonts w:ascii="Calibri" w:cs="Calibri" w:eastAsia="Calibri" w:hAnsi="Calibri"/>
                <w:b/>
                <w:bCs/>
                <w:color w:val="0D1B3E"/>
                <w:sz w:val="19"/>
                <w:szCs w:val="19"/>
              </w:rPr>
              <w:t xml:space="preserve">BIRAC BIG Grant</w:t>
            </w:r>
          </w:p>
        </w:tc>
        <w:tc>
          <w:tcPr>
            <w:tcW w:type="pct" w:w="65%"/>
            <w:shd w:fill="FFFFFF" w:color="FFFFFF" w:val="solid"/>
          </w:tcPr>
          <w:p>
            <w:r>
              <w:rPr>
                <w:rFonts w:ascii="Calibri" w:cs="Calibri" w:eastAsia="Calibri" w:hAnsi="Calibri"/>
                <w:sz w:val="19"/>
                <w:szCs w:val="19"/>
              </w:rPr>
              <w:t xml:space="preserve">₹50 Lakhs — Received August 2024</w:t>
            </w:r>
          </w:p>
        </w:tc>
      </w:tr>
      <w:tr>
        <w:tc>
          <w:tcPr>
            <w:tcW w:type="pct" w:w="35%"/>
            <w:shd w:fill="FFFFFF" w:color="FFFFFF" w:val="solid"/>
          </w:tcPr>
          <w:p>
            <w:r>
              <w:rPr>
                <w:rFonts w:ascii="Calibri" w:cs="Calibri" w:eastAsia="Calibri" w:hAnsi="Calibri"/>
                <w:b/>
                <w:bCs/>
                <w:color w:val="0D1B3E"/>
                <w:sz w:val="19"/>
                <w:szCs w:val="19"/>
              </w:rPr>
              <w:t xml:space="preserve">Patents Filed</w:t>
            </w:r>
          </w:p>
        </w:tc>
        <w:tc>
          <w:tcPr>
            <w:tcW w:type="pct" w:w="65%"/>
            <w:shd w:fill="FFFFFF" w:color="FFFFFF" w:val="solid"/>
          </w:tcPr>
          <w:p>
            <w:r>
              <w:rPr>
                <w:rFonts w:ascii="Calibri" w:cs="Calibri" w:eastAsia="Calibri" w:hAnsi="Calibri"/>
                <w:sz w:val="19"/>
                <w:szCs w:val="19"/>
              </w:rPr>
              <w:t xml:space="preserve">3 patents (AI diagnostic algorithms) — 1 granted, 2 pending</w:t>
            </w:r>
          </w:p>
        </w:tc>
      </w:tr>
    </w:tbl>
    <w:p>
      <w:pPr>
        <w:pStyle w:val="Heading1"/>
        <w:shd w:fill="0D1B3E" w:color="0D1B3E" w:val="solid"/>
        <w:spacing w:before="280" w:after="120"/>
        <w:rPr>
          <w:rFonts w:ascii="Calibri" w:cs="Calibri" w:eastAsia="Calibri" w:hAnsi="Calibri"/>
          <w:b/>
          <w:bCs/>
          <w:color w:val="FFFFFF"/>
          <w:sz w:val="28"/>
          <w:szCs w:val="28"/>
        </w:rPr>
      </w:pPr>
      <w:r>
        <w:t xml:space="preserve">2. BUSINESS BACKGROUND &amp; PROBLEM STATEMENT</w:t>
      </w:r>
    </w:p>
    <w:p>
      <w:pPr>
        <w:spacing w:before="60" w:after="60"/>
      </w:pPr>
      <w:r>
        <w:rPr>
          <w:rFonts w:ascii="Calibri" w:cs="Calibri" w:eastAsia="Calibri" w:hAnsi="Calibri"/>
          <w:b w:val="false"/>
          <w:bCs w:val="false"/>
          <w:color w:val="333333"/>
          <w:sz w:val="20"/>
          <w:szCs w:val="20"/>
        </w:rPr>
        <w:t xml:space="preserve">NovaMed AI was founded in March 2021 to address the critical shortage of quality diagnostic services in rural and semi-urban India. The founders identified that 600 million+ Indians living in tier-2, tier-3 cities and rural areas have virtually no access to specialist-level diagnostics — a problem that causes 1.5 lakh preventable deaths annually.</w:t>
      </w:r>
    </w:p>
    <w:p>
      <w:pPr>
        <w:spacing w:before="60" w:after="60"/>
      </w:pPr>
      <w:r>
        <w:rPr>
          <w:rFonts w:ascii="Calibri" w:cs="Calibri" w:eastAsia="Calibri" w:hAnsi="Calibri"/>
          <w:b w:val="false"/>
          <w:bCs w:val="false"/>
          <w:color w:val="333333"/>
          <w:sz w:val="20"/>
          <w:szCs w:val="20"/>
        </w:rPr>
        <w:t xml:space="preserve">The existing solutions are either unaffordable (hospital-grade equipment costs ₹5–15 lakhs), inaccurate (basic portable devices have 40% misdiagnosis rates), or inaccessible (average patient travels 60km for basic tests).</w:t>
      </w:r>
    </w:p>
    <w:p>
      <w:pPr>
        <w:spacing w:before="60" w:after="60"/>
      </w:pPr>
      <w:r>
        <w:rPr>
          <w:rFonts w:ascii="Calibri" w:cs="Calibri" w:eastAsia="Calibri" w:hAnsi="Calibri"/>
          <w:b/>
          <w:bCs/>
          <w:color w:val="0D6E8A"/>
          <w:sz w:val="20"/>
          <w:szCs w:val="20"/>
        </w:rPr>
        <w:t xml:space="preserve">NovaMed solves this with two integrated products:</w:t>
      </w:r>
    </w:p>
    <w:p>
      <w:pPr>
        <w:spacing w:before="40" w:after="40"/>
        <w:ind w:left="400"/>
      </w:pPr>
      <w:r>
        <w:rPr>
          <w:rFonts w:ascii="Calibri" w:cs="Calibri" w:eastAsia="Calibri" w:hAnsi="Calibri"/>
          <w:color w:val="333333"/>
          <w:sz w:val="20"/>
          <w:szCs w:val="20"/>
        </w:rPr>
        <w:t xml:space="preserve">• NovaScan Device: A ₹45,000 portable IoT device performing ECG, SpO2, blood pressure, glucose, and skin lesion scans with 4G/satellite connectivity</w:t>
      </w:r>
    </w:p>
    <w:p>
      <w:pPr>
        <w:spacing w:before="40" w:after="40"/>
        <w:ind w:left="400"/>
      </w:pPr>
      <w:r>
        <w:rPr>
          <w:rFonts w:ascii="Calibri" w:cs="Calibri" w:eastAsia="Calibri" w:hAnsi="Calibri"/>
          <w:color w:val="333333"/>
          <w:sz w:val="20"/>
          <w:szCs w:val="20"/>
        </w:rPr>
        <w:t xml:space="preserve">• NovaMed Cloud: AI diagnostic platform trained on 2.3 million Indian patient records, delivering 94.3% accuracy — validated by AIIMS Delhi and Apollo Hospitals</w:t>
      </w:r>
    </w:p>
    <w:p>
      <w:pPr>
        <w:spacing w:before="40" w:after="40"/>
        <w:ind w:left="400"/>
      </w:pPr>
      <w:r>
        <w:rPr>
          <w:rFonts w:ascii="Calibri" w:cs="Calibri" w:eastAsia="Calibri" w:hAnsi="Calibri"/>
          <w:color w:val="333333"/>
          <w:sz w:val="20"/>
          <w:szCs w:val="20"/>
        </w:rPr>
        <w:t xml:space="preserve">• Integrated Platform: Real-time connectivity between device, AI cloud, and specialist doctors for remote review within 4 hours</w:t>
      </w:r>
    </w:p>
    <w:p>
      <w:pPr>
        <w:spacing w:before="60" w:after="60"/>
      </w:pPr>
      <w:r>
        <w:rPr>
          <w:rFonts w:ascii="Calibri" w:cs="Calibri" w:eastAsia="Calibri" w:hAnsi="Calibri"/>
          <w:b w:val="false"/>
          <w:bCs w:val="false"/>
          <w:color w:val="333333"/>
          <w:sz w:val="20"/>
          <w:szCs w:val="20"/>
        </w:rPr>
        <w:t xml:space="preserve">The company has achieved 340 active clinic deployments across 6 states, 82,000+ scans completed, and ₹2.1 Crore ARR growing at 18% MoM — demonstrating clear product-market fit.</w:t>
      </w:r>
    </w:p>
    <w:p>
      <w:pPr>
        <w:pStyle w:val="Heading1"/>
        <w:shd w:fill="0D1B3E" w:color="0D1B3E" w:val="solid"/>
        <w:spacing w:before="280" w:after="120"/>
        <w:rPr>
          <w:rFonts w:ascii="Calibri" w:cs="Calibri" w:eastAsia="Calibri" w:hAnsi="Calibri"/>
          <w:b/>
          <w:bCs/>
          <w:color w:val="FFFFFF"/>
          <w:sz w:val="28"/>
          <w:szCs w:val="28"/>
        </w:rPr>
      </w:pPr>
      <w:r>
        <w:t xml:space="preserve">3. FOUNDING TEAM &amp; EXPERIENCE</w:t>
      </w:r>
    </w:p>
    <w:p>
      <w:pPr>
        <w:spacing w:before="200" w:after="80"/>
      </w:pPr>
      <w:r>
        <w:rPr>
          <w:rFonts w:ascii="Calibri" w:cs="Calibri" w:eastAsia="Calibri" w:hAnsi="Calibri"/>
          <w:b/>
          <w:bCs/>
          <w:color w:val="0D6E8A"/>
          <w:sz w:val="24"/>
          <w:szCs w:val="24"/>
        </w:rPr>
        <w:t xml:space="preserve">Dr. Priya Venkatesh — CEO &amp; Co-Founder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Education</w:t>
            </w:r>
          </w:p>
        </w:tc>
        <w:tc>
          <w:tcPr>
            <w:tcW w:type="pct" w:w="65%"/>
            <w:shd w:fill="FFFFFF" w:color="FFFFFF" w:val="solid"/>
          </w:tcPr>
          <w:p>
            <w:r>
              <w:rPr>
                <w:rFonts w:ascii="Calibri" w:cs="Calibri" w:eastAsia="Calibri" w:hAnsi="Calibri"/>
                <w:sz w:val="19"/>
                <w:szCs w:val="19"/>
              </w:rPr>
              <w:t xml:space="preserve">MBBS — AIIMS New Delhi (Top 5 rank) | MBA — IIM Ahmedabad (Gold Medal)</w:t>
            </w:r>
          </w:p>
        </w:tc>
      </w:tr>
      <w:tr>
        <w:tc>
          <w:tcPr>
            <w:tcW w:type="pct" w:w="35%"/>
            <w:shd w:fill="FFFFFF" w:color="FFFFFF" w:val="solid"/>
          </w:tcPr>
          <w:p>
            <w:r>
              <w:rPr>
                <w:rFonts w:ascii="Calibri" w:cs="Calibri" w:eastAsia="Calibri" w:hAnsi="Calibri"/>
                <w:b/>
                <w:bCs/>
                <w:color w:val="0D1B3E"/>
                <w:sz w:val="19"/>
                <w:szCs w:val="19"/>
              </w:rPr>
              <w:t xml:space="preserve">Experience</w:t>
            </w:r>
          </w:p>
        </w:tc>
        <w:tc>
          <w:tcPr>
            <w:tcW w:type="pct" w:w="65%"/>
            <w:shd w:fill="FFFFFF" w:color="FFFFFF" w:val="solid"/>
          </w:tcPr>
          <w:p>
            <w:r>
              <w:rPr>
                <w:rFonts w:ascii="Calibri" w:cs="Calibri" w:eastAsia="Calibri" w:hAnsi="Calibri"/>
                <w:sz w:val="19"/>
                <w:szCs w:val="19"/>
              </w:rPr>
              <w:t xml:space="preserve">12 years in rural healthcare policy and clinical operations</w:t>
            </w:r>
          </w:p>
        </w:tc>
      </w:tr>
      <w:tr>
        <w:tc>
          <w:tcPr>
            <w:tcW w:type="pct" w:w="35%"/>
            <w:shd w:fill="F0F4F8" w:color="F0F4F8" w:val="solid"/>
          </w:tcPr>
          <w:p>
            <w:r>
              <w:rPr>
                <w:rFonts w:ascii="Calibri" w:cs="Calibri" w:eastAsia="Calibri" w:hAnsi="Calibri"/>
                <w:b/>
                <w:bCs/>
                <w:color w:val="0D1B3E"/>
                <w:sz w:val="19"/>
                <w:szCs w:val="19"/>
              </w:rPr>
              <w:t xml:space="preserve">Previous Role</w:t>
            </w:r>
          </w:p>
        </w:tc>
        <w:tc>
          <w:tcPr>
            <w:tcW w:type="pct" w:w="65%"/>
            <w:shd w:fill="FFFFFF" w:color="FFFFFF" w:val="solid"/>
          </w:tcPr>
          <w:p>
            <w:r>
              <w:rPr>
                <w:rFonts w:ascii="Calibri" w:cs="Calibri" w:eastAsia="Calibri" w:hAnsi="Calibri"/>
                <w:sz w:val="19"/>
                <w:szCs w:val="19"/>
              </w:rPr>
              <w:t xml:space="preserve">VP Clinical Operations, Apollo Hospitals (Managed 28 rural health centres)</w:t>
            </w:r>
          </w:p>
        </w:tc>
      </w:tr>
      <w:tr>
        <w:tc>
          <w:tcPr>
            <w:tcW w:type="pct" w:w="35%"/>
            <w:shd w:fill="FFFFFF" w:color="FFFFFF" w:val="solid"/>
          </w:tcPr>
          <w:p>
            <w:r>
              <w:rPr>
                <w:rFonts w:ascii="Calibri" w:cs="Calibri" w:eastAsia="Calibri" w:hAnsi="Calibri"/>
                <w:b/>
                <w:bCs/>
                <w:color w:val="0D1B3E"/>
                <w:sz w:val="19"/>
                <w:szCs w:val="19"/>
              </w:rPr>
              <w:t xml:space="preserve">Research</w:t>
            </w:r>
          </w:p>
        </w:tc>
        <w:tc>
          <w:tcPr>
            <w:tcW w:type="pct" w:w="65%"/>
            <w:shd w:fill="FFFFFF" w:color="FFFFFF" w:val="solid"/>
          </w:tcPr>
          <w:p>
            <w:r>
              <w:rPr>
                <w:rFonts w:ascii="Calibri" w:cs="Calibri" w:eastAsia="Calibri" w:hAnsi="Calibri"/>
                <w:sz w:val="19"/>
                <w:szCs w:val="19"/>
              </w:rPr>
              <w:t xml:space="preserve">18 peer-reviewed publications — AI diagnostics in low-resource settings</w:t>
            </w:r>
          </w:p>
        </w:tc>
      </w:tr>
      <w:tr>
        <w:tc>
          <w:tcPr>
            <w:tcW w:type="pct" w:w="35%"/>
            <w:shd w:fill="F0F4F8" w:color="F0F4F8" w:val="solid"/>
          </w:tcPr>
          <w:p>
            <w:r>
              <w:rPr>
                <w:rFonts w:ascii="Calibri" w:cs="Calibri" w:eastAsia="Calibri" w:hAnsi="Calibri"/>
                <w:b/>
                <w:bCs/>
                <w:color w:val="0D1B3E"/>
                <w:sz w:val="19"/>
                <w:szCs w:val="19"/>
              </w:rPr>
              <w:t xml:space="preserve">Awards</w:t>
            </w:r>
          </w:p>
        </w:tc>
        <w:tc>
          <w:tcPr>
            <w:tcW w:type="pct" w:w="65%"/>
            <w:shd w:fill="FFFFFF" w:color="FFFFFF" w:val="solid"/>
          </w:tcPr>
          <w:p>
            <w:r>
              <w:rPr>
                <w:rFonts w:ascii="Calibri" w:cs="Calibri" w:eastAsia="Calibri" w:hAnsi="Calibri"/>
                <w:sz w:val="19"/>
                <w:szCs w:val="19"/>
              </w:rPr>
              <w:t xml:space="preserve">Forbes 30 Under 30 Asia (Healthcare) 2023 | NITI Aayog WEP Fellow</w:t>
            </w:r>
          </w:p>
        </w:tc>
      </w:tr>
      <w:tr>
        <w:tc>
          <w:tcPr>
            <w:tcW w:type="pct" w:w="35%"/>
            <w:shd w:fill="FFFFFF" w:color="FFFFFF" w:val="solid"/>
          </w:tcPr>
          <w:p>
            <w:r>
              <w:rPr>
                <w:rFonts w:ascii="Calibri" w:cs="Calibri" w:eastAsia="Calibri" w:hAnsi="Calibri"/>
                <w:b/>
                <w:bCs/>
                <w:color w:val="0D1B3E"/>
                <w:sz w:val="19"/>
                <w:szCs w:val="19"/>
              </w:rPr>
              <w:t xml:space="preserve">Network</w:t>
            </w:r>
          </w:p>
        </w:tc>
        <w:tc>
          <w:tcPr>
            <w:tcW w:type="pct" w:w="65%"/>
            <w:shd w:fill="FFFFFF" w:color="FFFFFF" w:val="solid"/>
          </w:tcPr>
          <w:p>
            <w:r>
              <w:rPr>
                <w:rFonts w:ascii="Calibri" w:cs="Calibri" w:eastAsia="Calibri" w:hAnsi="Calibri"/>
                <w:sz w:val="19"/>
                <w:szCs w:val="19"/>
              </w:rPr>
              <w:t xml:space="preserve">Deep connections with NHM, ICMR, state health secretaries in 8 states</w:t>
            </w:r>
          </w:p>
        </w:tc>
      </w:tr>
    </w:tbl>
    <w:p>
      <w:pPr>
        <w:spacing w:before="200" w:after="80"/>
      </w:pPr>
      <w:r>
        <w:rPr>
          <w:rFonts w:ascii="Calibri" w:cs="Calibri" w:eastAsia="Calibri" w:hAnsi="Calibri"/>
          <w:b/>
          <w:bCs/>
          <w:color w:val="0D6E8A"/>
          <w:sz w:val="24"/>
          <w:szCs w:val="24"/>
        </w:rPr>
        <w:t xml:space="preserve">Arjun Mehta — CTO &amp; Co-Founder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Education</w:t>
            </w:r>
          </w:p>
        </w:tc>
        <w:tc>
          <w:tcPr>
            <w:tcW w:type="pct" w:w="65%"/>
            <w:shd w:fill="FFFFFF" w:color="FFFFFF" w:val="solid"/>
          </w:tcPr>
          <w:p>
            <w:r>
              <w:rPr>
                <w:rFonts w:ascii="Calibri" w:cs="Calibri" w:eastAsia="Calibri" w:hAnsi="Calibri"/>
                <w:sz w:val="19"/>
                <w:szCs w:val="19"/>
              </w:rPr>
              <w:t xml:space="preserve">B.Tech — IIT Bombay (Computer Science) | M.S. — Stanford University (AI/ML)</w:t>
            </w:r>
          </w:p>
        </w:tc>
      </w:tr>
      <w:tr>
        <w:tc>
          <w:tcPr>
            <w:tcW w:type="pct" w:w="35%"/>
            <w:shd w:fill="FFFFFF" w:color="FFFFFF" w:val="solid"/>
          </w:tcPr>
          <w:p>
            <w:r>
              <w:rPr>
                <w:rFonts w:ascii="Calibri" w:cs="Calibri" w:eastAsia="Calibri" w:hAnsi="Calibri"/>
                <w:b/>
                <w:bCs/>
                <w:color w:val="0D1B3E"/>
                <w:sz w:val="19"/>
                <w:szCs w:val="19"/>
              </w:rPr>
              <w:t xml:space="preserve">Experience</w:t>
            </w:r>
          </w:p>
        </w:tc>
        <w:tc>
          <w:tcPr>
            <w:tcW w:type="pct" w:w="65%"/>
            <w:shd w:fill="FFFFFF" w:color="FFFFFF" w:val="solid"/>
          </w:tcPr>
          <w:p>
            <w:r>
              <w:rPr>
                <w:rFonts w:ascii="Calibri" w:cs="Calibri" w:eastAsia="Calibri" w:hAnsi="Calibri"/>
                <w:sz w:val="19"/>
                <w:szCs w:val="19"/>
              </w:rPr>
              <w:t xml:space="preserve">9 years in AI/ML engineering and medical device development</w:t>
            </w:r>
          </w:p>
        </w:tc>
      </w:tr>
      <w:tr>
        <w:tc>
          <w:tcPr>
            <w:tcW w:type="pct" w:w="35%"/>
            <w:shd w:fill="F0F4F8" w:color="F0F4F8" w:val="solid"/>
          </w:tcPr>
          <w:p>
            <w:r>
              <w:rPr>
                <w:rFonts w:ascii="Calibri" w:cs="Calibri" w:eastAsia="Calibri" w:hAnsi="Calibri"/>
                <w:b/>
                <w:bCs/>
                <w:color w:val="0D1B3E"/>
                <w:sz w:val="19"/>
                <w:szCs w:val="19"/>
              </w:rPr>
              <w:t xml:space="preserve">Previous Role</w:t>
            </w:r>
          </w:p>
        </w:tc>
        <w:tc>
          <w:tcPr>
            <w:tcW w:type="pct" w:w="65%"/>
            <w:shd w:fill="FFFFFF" w:color="FFFFFF" w:val="solid"/>
          </w:tcPr>
          <w:p>
            <w:r>
              <w:rPr>
                <w:rFonts w:ascii="Calibri" w:cs="Calibri" w:eastAsia="Calibri" w:hAnsi="Calibri"/>
                <w:sz w:val="19"/>
                <w:szCs w:val="19"/>
              </w:rPr>
              <w:t xml:space="preserve">Senior Engineer, Google Brain (3 years) | Software Architect, Philips Healthcare (4 years)</w:t>
            </w:r>
          </w:p>
        </w:tc>
      </w:tr>
      <w:tr>
        <w:tc>
          <w:tcPr>
            <w:tcW w:type="pct" w:w="35%"/>
            <w:shd w:fill="FFFFFF" w:color="FFFFFF" w:val="solid"/>
          </w:tcPr>
          <w:p>
            <w:r>
              <w:rPr>
                <w:rFonts w:ascii="Calibri" w:cs="Calibri" w:eastAsia="Calibri" w:hAnsi="Calibri"/>
                <w:b/>
                <w:bCs/>
                <w:color w:val="0D1B3E"/>
                <w:sz w:val="19"/>
                <w:szCs w:val="19"/>
              </w:rPr>
              <w:t xml:space="preserve">Patents</w:t>
            </w:r>
          </w:p>
        </w:tc>
        <w:tc>
          <w:tcPr>
            <w:tcW w:type="pct" w:w="65%"/>
            <w:shd w:fill="FFFFFF" w:color="FFFFFF" w:val="solid"/>
          </w:tcPr>
          <w:p>
            <w:r>
              <w:rPr>
                <w:rFonts w:ascii="Calibri" w:cs="Calibri" w:eastAsia="Calibri" w:hAnsi="Calibri"/>
                <w:sz w:val="19"/>
                <w:szCs w:val="19"/>
              </w:rPr>
              <w:t xml:space="preserve">6 granted patents in medical imaging AI and edge computing</w:t>
            </w:r>
          </w:p>
        </w:tc>
      </w:tr>
      <w:tr>
        <w:tc>
          <w:tcPr>
            <w:tcW w:type="pct" w:w="35%"/>
            <w:shd w:fill="F0F4F8" w:color="F0F4F8" w:val="solid"/>
          </w:tcPr>
          <w:p>
            <w:r>
              <w:rPr>
                <w:rFonts w:ascii="Calibri" w:cs="Calibri" w:eastAsia="Calibri" w:hAnsi="Calibri"/>
                <w:b/>
                <w:bCs/>
                <w:color w:val="0D1B3E"/>
                <w:sz w:val="19"/>
                <w:szCs w:val="19"/>
              </w:rPr>
              <w:t xml:space="preserve">Recognition</w:t>
            </w:r>
          </w:p>
        </w:tc>
        <w:tc>
          <w:tcPr>
            <w:tcW w:type="pct" w:w="65%"/>
            <w:shd w:fill="FFFFFF" w:color="FFFFFF" w:val="solid"/>
          </w:tcPr>
          <w:p>
            <w:r>
              <w:rPr>
                <w:rFonts w:ascii="Calibri" w:cs="Calibri" w:eastAsia="Calibri" w:hAnsi="Calibri"/>
                <w:sz w:val="19"/>
                <w:szCs w:val="19"/>
              </w:rPr>
              <w:t xml:space="preserve">Kaggle Grandmaster (Top 50 globally) | TEDx Speaker on AI in Healthcare</w:t>
            </w:r>
          </w:p>
        </w:tc>
      </w:tr>
      <w:tr>
        <w:tc>
          <w:tcPr>
            <w:tcW w:type="pct" w:w="35%"/>
            <w:shd w:fill="FFFFFF" w:color="FFFFFF" w:val="solid"/>
          </w:tcPr>
          <w:p>
            <w:r>
              <w:rPr>
                <w:rFonts w:ascii="Calibri" w:cs="Calibri" w:eastAsia="Calibri" w:hAnsi="Calibri"/>
                <w:b/>
                <w:bCs/>
                <w:color w:val="0D1B3E"/>
                <w:sz w:val="19"/>
                <w:szCs w:val="19"/>
              </w:rPr>
              <w:t xml:space="preserve">Technical</w:t>
            </w:r>
          </w:p>
        </w:tc>
        <w:tc>
          <w:tcPr>
            <w:tcW w:type="pct" w:w="65%"/>
            <w:shd w:fill="FFFFFF" w:color="FFFFFF" w:val="solid"/>
          </w:tcPr>
          <w:p>
            <w:r>
              <w:rPr>
                <w:rFonts w:ascii="Calibri" w:cs="Calibri" w:eastAsia="Calibri" w:hAnsi="Calibri"/>
                <w:sz w:val="19"/>
                <w:szCs w:val="19"/>
              </w:rPr>
              <w:t xml:space="preserve">Architected NovaMed AI — processes 5,000 scans/day on ₹800/month cloud cost</w:t>
            </w:r>
          </w:p>
        </w:tc>
      </w:tr>
    </w:tbl>
    <w:p>
      <w:pPr>
        <w:spacing w:before="200" w:after="80"/>
      </w:pPr>
      <w:r>
        <w:rPr>
          <w:rFonts w:ascii="Calibri" w:cs="Calibri" w:eastAsia="Calibri" w:hAnsi="Calibri"/>
          <w:b/>
          <w:bCs/>
          <w:color w:val="0D6E8A"/>
          <w:sz w:val="24"/>
          <w:szCs w:val="24"/>
        </w:rPr>
        <w:t xml:space="preserve">Sunita Rao — COO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Education</w:t>
            </w:r>
          </w:p>
        </w:tc>
        <w:tc>
          <w:tcPr>
            <w:tcW w:type="pct" w:w="65%"/>
            <w:shd w:fill="FFFFFF" w:color="FFFFFF" w:val="solid"/>
          </w:tcPr>
          <w:p>
            <w:r>
              <w:rPr>
                <w:rFonts w:ascii="Calibri" w:cs="Calibri" w:eastAsia="Calibri" w:hAnsi="Calibri"/>
                <w:sz w:val="19"/>
                <w:szCs w:val="19"/>
              </w:rPr>
              <w:t xml:space="preserve">CA (ICAI All India Rank 12) | MBA — ISB Hyderabad</w:t>
            </w:r>
          </w:p>
        </w:tc>
      </w:tr>
      <w:tr>
        <w:tc>
          <w:tcPr>
            <w:tcW w:type="pct" w:w="35%"/>
            <w:shd w:fill="FFFFFF" w:color="FFFFFF" w:val="solid"/>
          </w:tcPr>
          <w:p>
            <w:r>
              <w:rPr>
                <w:rFonts w:ascii="Calibri" w:cs="Calibri" w:eastAsia="Calibri" w:hAnsi="Calibri"/>
                <w:b/>
                <w:bCs/>
                <w:color w:val="0D1B3E"/>
                <w:sz w:val="19"/>
                <w:szCs w:val="19"/>
              </w:rPr>
              <w:t xml:space="preserve">Experience</w:t>
            </w:r>
          </w:p>
        </w:tc>
        <w:tc>
          <w:tcPr>
            <w:tcW w:type="pct" w:w="65%"/>
            <w:shd w:fill="FFFFFF" w:color="FFFFFF" w:val="solid"/>
          </w:tcPr>
          <w:p>
            <w:r>
              <w:rPr>
                <w:rFonts w:ascii="Calibri" w:cs="Calibri" w:eastAsia="Calibri" w:hAnsi="Calibri"/>
                <w:sz w:val="19"/>
                <w:szCs w:val="19"/>
              </w:rPr>
              <w:t xml:space="preserve">14 years in FMCG rural distribution and healthcare operations</w:t>
            </w:r>
          </w:p>
        </w:tc>
      </w:tr>
      <w:tr>
        <w:tc>
          <w:tcPr>
            <w:tcW w:type="pct" w:w="35%"/>
            <w:shd w:fill="F0F4F8" w:color="F0F4F8" w:val="solid"/>
          </w:tcPr>
          <w:p>
            <w:r>
              <w:rPr>
                <w:rFonts w:ascii="Calibri" w:cs="Calibri" w:eastAsia="Calibri" w:hAnsi="Calibri"/>
                <w:b/>
                <w:bCs/>
                <w:color w:val="0D1B3E"/>
                <w:sz w:val="19"/>
                <w:szCs w:val="19"/>
              </w:rPr>
              <w:t xml:space="preserve">Previous Role</w:t>
            </w:r>
          </w:p>
        </w:tc>
        <w:tc>
          <w:tcPr>
            <w:tcW w:type="pct" w:w="65%"/>
            <w:shd w:fill="FFFFFF" w:color="FFFFFF" w:val="solid"/>
          </w:tcPr>
          <w:p>
            <w:r>
              <w:rPr>
                <w:rFonts w:ascii="Calibri" w:cs="Calibri" w:eastAsia="Calibri" w:hAnsi="Calibri"/>
                <w:sz w:val="19"/>
                <w:szCs w:val="19"/>
              </w:rPr>
              <w:t xml:space="preserve">National Head — Rural Distribution, HUL (50,000+ villages) | McKinsey Healthcare Consultant</w:t>
            </w:r>
          </w:p>
        </w:tc>
      </w:tr>
      <w:tr>
        <w:tc>
          <w:tcPr>
            <w:tcW w:type="pct" w:w="35%"/>
            <w:shd w:fill="FFFFFF" w:color="FFFFFF" w:val="solid"/>
          </w:tcPr>
          <w:p>
            <w:r>
              <w:rPr>
                <w:rFonts w:ascii="Calibri" w:cs="Calibri" w:eastAsia="Calibri" w:hAnsi="Calibri"/>
                <w:b/>
                <w:bCs/>
                <w:color w:val="0D1B3E"/>
                <w:sz w:val="19"/>
                <w:szCs w:val="19"/>
              </w:rPr>
              <w:t xml:space="preserve">Achievement</w:t>
            </w:r>
          </w:p>
        </w:tc>
        <w:tc>
          <w:tcPr>
            <w:tcW w:type="pct" w:w="65%"/>
            <w:shd w:fill="FFFFFF" w:color="FFFFFF" w:val="solid"/>
          </w:tcPr>
          <w:p>
            <w:r>
              <w:rPr>
                <w:rFonts w:ascii="Calibri" w:cs="Calibri" w:eastAsia="Calibri" w:hAnsi="Calibri"/>
                <w:sz w:val="19"/>
                <w:szCs w:val="19"/>
              </w:rPr>
              <w:t xml:space="preserve">Built NovaMed distribution from 0 to 340 clinics in 18 months</w:t>
            </w:r>
          </w:p>
        </w:tc>
      </w:tr>
    </w:tbl>
    <w:p>
      <w:pPr>
        <w:spacing w:before="200" w:after="80"/>
      </w:pPr>
      <w:r>
        <w:rPr>
          <w:rFonts w:ascii="Calibri" w:cs="Calibri" w:eastAsia="Calibri" w:hAnsi="Calibri"/>
          <w:b/>
          <w:bCs/>
          <w:color w:val="0D6E8A"/>
          <w:sz w:val="24"/>
          <w:szCs w:val="24"/>
        </w:rPr>
        <w:t xml:space="preserve">Advisory Board</w:t>
      </w:r>
    </w:p>
    <w:p>
      <w:pPr>
        <w:spacing w:before="40" w:after="40"/>
        <w:ind w:left="400"/>
      </w:pPr>
      <w:r>
        <w:rPr>
          <w:rFonts w:ascii="Calibri" w:cs="Calibri" w:eastAsia="Calibri" w:hAnsi="Calibri"/>
          <w:color w:val="333333"/>
          <w:sz w:val="20"/>
          <w:szCs w:val="20"/>
        </w:rPr>
        <w:t xml:space="preserve">• Dr. K. Srinivasan — Former Director, AIIMS New Delhi | India's top cardiologist; guides clinical validation</w:t>
      </w:r>
    </w:p>
    <w:p>
      <w:pPr>
        <w:spacing w:before="40" w:after="40"/>
        <w:ind w:left="400"/>
      </w:pPr>
      <w:r>
        <w:rPr>
          <w:rFonts w:ascii="Calibri" w:cs="Calibri" w:eastAsia="Calibri" w:hAnsi="Calibri"/>
          <w:color w:val="333333"/>
          <w:sz w:val="20"/>
          <w:szCs w:val="20"/>
        </w:rPr>
        <w:t xml:space="preserve">• Rahul Khanna — Managing Partner, Tata Capital Healthcare Fund; ₹2,000Cr AUM</w:t>
      </w:r>
    </w:p>
    <w:p>
      <w:pPr>
        <w:spacing w:before="40" w:after="40"/>
        <w:ind w:left="400"/>
      </w:pPr>
      <w:r>
        <w:rPr>
          <w:rFonts w:ascii="Calibri" w:cs="Calibri" w:eastAsia="Calibri" w:hAnsi="Calibri"/>
          <w:color w:val="333333"/>
          <w:sz w:val="20"/>
          <w:szCs w:val="20"/>
        </w:rPr>
        <w:t xml:space="preserve">• Prof. Anand Kumar — Head, Biomedical Engineering, IIT Madras; guides hardware design</w:t>
      </w:r>
    </w:p>
    <w:p>
      <w:pPr>
        <w:spacing w:before="40" w:after="40"/>
        <w:ind w:left="400"/>
      </w:pPr>
      <w:r>
        <w:rPr>
          <w:rFonts w:ascii="Calibri" w:cs="Calibri" w:eastAsia="Calibri" w:hAnsi="Calibri"/>
          <w:color w:val="333333"/>
          <w:sz w:val="20"/>
          <w:szCs w:val="20"/>
        </w:rPr>
        <w:t xml:space="preserve">• Neha Agarwal — Former COO, Practo (scaled to 10M users, 200 cities); guides SaaS growth</w:t>
      </w:r>
    </w:p>
    <w:p>
      <w:pPr>
        <w:spacing w:before="40" w:after="40"/>
        <w:ind w:left="400"/>
      </w:pPr>
      <w:r>
        <w:rPr>
          <w:rFonts w:ascii="Calibri" w:cs="Calibri" w:eastAsia="Calibri" w:hAnsi="Calibri"/>
          <w:color w:val="333333"/>
          <w:sz w:val="20"/>
          <w:szCs w:val="20"/>
        </w:rPr>
        <w:t xml:space="preserve">• Dr. James Chen — Former WHO Director, Digital Health; guides international expansion</w:t>
      </w:r>
    </w:p>
    <w:p>
      <w:pPr>
        <w:pStyle w:val="Heading1"/>
        <w:shd w:fill="0D1B3E" w:color="0D1B3E" w:val="solid"/>
        <w:spacing w:before="280" w:after="120"/>
        <w:rPr>
          <w:rFonts w:ascii="Calibri" w:cs="Calibri" w:eastAsia="Calibri" w:hAnsi="Calibri"/>
          <w:b/>
          <w:bCs/>
          <w:color w:val="FFFFFF"/>
          <w:sz w:val="28"/>
          <w:szCs w:val="28"/>
        </w:rPr>
      </w:pPr>
      <w:r>
        <w:t xml:space="preserve">4. TRACTION &amp; KEY METRICS (January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Active Clinic Deployments</w:t>
            </w:r>
          </w:p>
        </w:tc>
        <w:tc>
          <w:tcPr>
            <w:tcW w:type="pct" w:w="65%"/>
            <w:shd w:fill="FFFFFF" w:color="FFFFFF" w:val="solid"/>
          </w:tcPr>
          <w:p>
            <w:r>
              <w:rPr>
                <w:rFonts w:ascii="Calibri" w:cs="Calibri" w:eastAsia="Calibri" w:hAnsi="Calibri"/>
                <w:sz w:val="19"/>
                <w:szCs w:val="19"/>
              </w:rPr>
              <w:t xml:space="preserve">340 clinics across Maharashtra, UP, MP, Rajasthan, Bihar, Odisha</w:t>
            </w:r>
          </w:p>
        </w:tc>
      </w:tr>
      <w:tr>
        <w:tc>
          <w:tcPr>
            <w:tcW w:type="pct" w:w="35%"/>
            <w:shd w:fill="FFFFFF" w:color="FFFFFF" w:val="solid"/>
          </w:tcPr>
          <w:p>
            <w:r>
              <w:rPr>
                <w:rFonts w:ascii="Calibri" w:cs="Calibri" w:eastAsia="Calibri" w:hAnsi="Calibri"/>
                <w:b/>
                <w:bCs/>
                <w:color w:val="0D1B3E"/>
                <w:sz w:val="19"/>
                <w:szCs w:val="19"/>
              </w:rPr>
              <w:t xml:space="preserve">Total Diagnostic Scans</w:t>
            </w:r>
          </w:p>
        </w:tc>
        <w:tc>
          <w:tcPr>
            <w:tcW w:type="pct" w:w="65%"/>
            <w:shd w:fill="FFFFFF" w:color="FFFFFF" w:val="solid"/>
          </w:tcPr>
          <w:p>
            <w:r>
              <w:rPr>
                <w:rFonts w:ascii="Calibri" w:cs="Calibri" w:eastAsia="Calibri" w:hAnsi="Calibri"/>
                <w:sz w:val="19"/>
                <w:szCs w:val="19"/>
              </w:rPr>
              <w:t xml:space="preserve">82,000+ scans — zero adverse patient safety events</w:t>
            </w:r>
          </w:p>
        </w:tc>
      </w:tr>
      <w:tr>
        <w:tc>
          <w:tcPr>
            <w:tcW w:type="pct" w:w="35%"/>
            <w:shd w:fill="F0F4F8" w:color="F0F4F8" w:val="solid"/>
          </w:tcPr>
          <w:p>
            <w:r>
              <w:rPr>
                <w:rFonts w:ascii="Calibri" w:cs="Calibri" w:eastAsia="Calibri" w:hAnsi="Calibri"/>
                <w:b/>
                <w:bCs/>
                <w:color w:val="0D1B3E"/>
                <w:sz w:val="19"/>
                <w:szCs w:val="19"/>
              </w:rPr>
              <w:t xml:space="preserve">AI Diagnostic Accuracy</w:t>
            </w:r>
          </w:p>
        </w:tc>
        <w:tc>
          <w:tcPr>
            <w:tcW w:type="pct" w:w="65%"/>
            <w:shd w:fill="FFFFFF" w:color="FFFFFF" w:val="solid"/>
          </w:tcPr>
          <w:p>
            <w:r>
              <w:rPr>
                <w:rFonts w:ascii="Calibri" w:cs="Calibri" w:eastAsia="Calibri" w:hAnsi="Calibri"/>
                <w:sz w:val="19"/>
                <w:szCs w:val="19"/>
              </w:rPr>
              <w:t xml:space="preserve">94.3% — 3rd party validated by Dr. R. Sharma, AIIMS Delhi</w:t>
            </w:r>
          </w:p>
        </w:tc>
      </w:tr>
      <w:tr>
        <w:tc>
          <w:tcPr>
            <w:tcW w:type="pct" w:w="35%"/>
            <w:shd w:fill="FFFFFF" w:color="FFFFFF" w:val="solid"/>
          </w:tcPr>
          <w:p>
            <w:r>
              <w:rPr>
                <w:rFonts w:ascii="Calibri" w:cs="Calibri" w:eastAsia="Calibri" w:hAnsi="Calibri"/>
                <w:b/>
                <w:bCs/>
                <w:color w:val="0D1B3E"/>
                <w:sz w:val="19"/>
                <w:szCs w:val="19"/>
              </w:rPr>
              <w:t xml:space="preserve">Current ARR</w:t>
            </w:r>
          </w:p>
        </w:tc>
        <w:tc>
          <w:tcPr>
            <w:tcW w:type="pct" w:w="65%"/>
            <w:shd w:fill="FFFFFF" w:color="FFFFFF" w:val="solid"/>
          </w:tcPr>
          <w:p>
            <w:r>
              <w:rPr>
                <w:rFonts w:ascii="Calibri" w:cs="Calibri" w:eastAsia="Calibri" w:hAnsi="Calibri"/>
                <w:sz w:val="19"/>
                <w:szCs w:val="19"/>
              </w:rPr>
              <w:t xml:space="preserve">₹2.1 Crore — growing at 18% MoM for 6 consecutive months</w:t>
            </w:r>
          </w:p>
        </w:tc>
      </w:tr>
      <w:tr>
        <w:tc>
          <w:tcPr>
            <w:tcW w:type="pct" w:w="35%"/>
            <w:shd w:fill="F0F4F8" w:color="F0F4F8" w:val="solid"/>
          </w:tcPr>
          <w:p>
            <w:r>
              <w:rPr>
                <w:rFonts w:ascii="Calibri" w:cs="Calibri" w:eastAsia="Calibri" w:hAnsi="Calibri"/>
                <w:b/>
                <w:bCs/>
                <w:color w:val="0D1B3E"/>
                <w:sz w:val="19"/>
                <w:szCs w:val="19"/>
              </w:rPr>
              <w:t xml:space="preserve">Net Revenue Retention (NRR)</w:t>
            </w:r>
          </w:p>
        </w:tc>
        <w:tc>
          <w:tcPr>
            <w:tcW w:type="pct" w:w="65%"/>
            <w:shd w:fill="FFFFFF" w:color="FFFFFF" w:val="solid"/>
          </w:tcPr>
          <w:p>
            <w:r>
              <w:rPr>
                <w:rFonts w:ascii="Calibri" w:cs="Calibri" w:eastAsia="Calibri" w:hAnsi="Calibri"/>
                <w:sz w:val="19"/>
                <w:szCs w:val="19"/>
              </w:rPr>
              <w:t xml:space="preserve">112% — clinics expand scan volume as patients return</w:t>
            </w:r>
          </w:p>
        </w:tc>
      </w:tr>
      <w:tr>
        <w:tc>
          <w:tcPr>
            <w:tcW w:type="pct" w:w="35%"/>
            <w:shd w:fill="FFFFFF" w:color="FFFFFF" w:val="solid"/>
          </w:tcPr>
          <w:p>
            <w:r>
              <w:rPr>
                <w:rFonts w:ascii="Calibri" w:cs="Calibri" w:eastAsia="Calibri" w:hAnsi="Calibri"/>
                <w:b/>
                <w:bCs/>
                <w:color w:val="0D1B3E"/>
                <w:sz w:val="19"/>
                <w:szCs w:val="19"/>
              </w:rPr>
              <w:t xml:space="preserve">Customer Churn</w:t>
            </w:r>
          </w:p>
        </w:tc>
        <w:tc>
          <w:tcPr>
            <w:tcW w:type="pct" w:w="65%"/>
            <w:shd w:fill="FFFFFF" w:color="FFFFFF" w:val="solid"/>
          </w:tcPr>
          <w:p>
            <w:r>
              <w:rPr>
                <w:rFonts w:ascii="Calibri" w:cs="Calibri" w:eastAsia="Calibri" w:hAnsi="Calibri"/>
                <w:sz w:val="19"/>
                <w:szCs w:val="19"/>
              </w:rPr>
              <w:t xml:space="preserve">1.8% monthly (improving; NHM tie-up will lock in govt clinics)</w:t>
            </w:r>
          </w:p>
        </w:tc>
      </w:tr>
      <w:tr>
        <w:tc>
          <w:tcPr>
            <w:tcW w:type="pct" w:w="35%"/>
            <w:shd w:fill="F0F4F8" w:color="F0F4F8" w:val="solid"/>
          </w:tcPr>
          <w:p>
            <w:r>
              <w:rPr>
                <w:rFonts w:ascii="Calibri" w:cs="Calibri" w:eastAsia="Calibri" w:hAnsi="Calibri"/>
                <w:b/>
                <w:bCs/>
                <w:color w:val="0D1B3E"/>
                <w:sz w:val="19"/>
                <w:szCs w:val="19"/>
              </w:rPr>
              <w:t xml:space="preserve">LTV:CAC Ratio</w:t>
            </w:r>
          </w:p>
        </w:tc>
        <w:tc>
          <w:tcPr>
            <w:tcW w:type="pct" w:w="65%"/>
            <w:shd w:fill="FFFFFF" w:color="FFFFFF" w:val="solid"/>
          </w:tcPr>
          <w:p>
            <w:r>
              <w:rPr>
                <w:rFonts w:ascii="Calibri" w:cs="Calibri" w:eastAsia="Calibri" w:hAnsi="Calibri"/>
                <w:sz w:val="19"/>
                <w:szCs w:val="19"/>
              </w:rPr>
              <w:t xml:space="preserve">14.8x (CAC ₹8,200 | LTV ₹1,21,000)</w:t>
            </w:r>
          </w:p>
        </w:tc>
      </w:tr>
      <w:tr>
        <w:tc>
          <w:tcPr>
            <w:tcW w:type="pct" w:w="35%"/>
            <w:shd w:fill="FFFFFF" w:color="FFFFFF" w:val="solid"/>
          </w:tcPr>
          <w:p>
            <w:r>
              <w:rPr>
                <w:rFonts w:ascii="Calibri" w:cs="Calibri" w:eastAsia="Calibri" w:hAnsi="Calibri"/>
                <w:b/>
                <w:bCs/>
                <w:color w:val="0D1B3E"/>
                <w:sz w:val="19"/>
                <w:szCs w:val="19"/>
              </w:rPr>
              <w:t xml:space="preserve">Payback Period</w:t>
            </w:r>
          </w:p>
        </w:tc>
        <w:tc>
          <w:tcPr>
            <w:tcW w:type="pct" w:w="65%"/>
            <w:shd w:fill="FFFFFF" w:color="FFFFFF" w:val="solid"/>
          </w:tcPr>
          <w:p>
            <w:r>
              <w:rPr>
                <w:rFonts w:ascii="Calibri" w:cs="Calibri" w:eastAsia="Calibri" w:hAnsi="Calibri"/>
                <w:sz w:val="19"/>
                <w:szCs w:val="19"/>
              </w:rPr>
              <w:t xml:space="preserve">5.2 months</w:t>
            </w:r>
          </w:p>
        </w:tc>
      </w:tr>
      <w:tr>
        <w:tc>
          <w:tcPr>
            <w:tcW w:type="pct" w:w="35%"/>
            <w:shd w:fill="F0F4F8" w:color="F0F4F8" w:val="solid"/>
          </w:tcPr>
          <w:p>
            <w:r>
              <w:rPr>
                <w:rFonts w:ascii="Calibri" w:cs="Calibri" w:eastAsia="Calibri" w:hAnsi="Calibri"/>
                <w:b/>
                <w:bCs/>
                <w:color w:val="0D1B3E"/>
                <w:sz w:val="19"/>
                <w:szCs w:val="19"/>
              </w:rPr>
              <w:t xml:space="preserve">Blended Gross Margin</w:t>
            </w:r>
          </w:p>
        </w:tc>
        <w:tc>
          <w:tcPr>
            <w:tcW w:type="pct" w:w="65%"/>
            <w:shd w:fill="FFFFFF" w:color="FFFFFF" w:val="solid"/>
          </w:tcPr>
          <w:p>
            <w:r>
              <w:rPr>
                <w:rFonts w:ascii="Calibri" w:cs="Calibri" w:eastAsia="Calibri" w:hAnsi="Calibri"/>
                <w:sz w:val="19"/>
                <w:szCs w:val="19"/>
              </w:rPr>
              <w:t xml:space="preserve">50.6% (Hardware 42%, SaaS 82%, Per-scan 68%)</w:t>
            </w:r>
          </w:p>
        </w:tc>
      </w:tr>
      <w:tr>
        <w:tc>
          <w:tcPr>
            <w:tcW w:type="pct" w:w="35%"/>
            <w:shd w:fill="FFFFFF" w:color="FFFFFF" w:val="solid"/>
          </w:tcPr>
          <w:p>
            <w:r>
              <w:rPr>
                <w:rFonts w:ascii="Calibri" w:cs="Calibri" w:eastAsia="Calibri" w:hAnsi="Calibri"/>
                <w:b/>
                <w:bCs/>
                <w:color w:val="0D1B3E"/>
                <w:sz w:val="19"/>
                <w:szCs w:val="19"/>
              </w:rPr>
              <w:t xml:space="preserve">NPS (Net Promoter Score)</w:t>
            </w:r>
          </w:p>
        </w:tc>
        <w:tc>
          <w:tcPr>
            <w:tcW w:type="pct" w:w="65%"/>
            <w:shd w:fill="FFFFFF" w:color="FFFFFF" w:val="solid"/>
          </w:tcPr>
          <w:p>
            <w:r>
              <w:rPr>
                <w:rFonts w:ascii="Calibri" w:cs="Calibri" w:eastAsia="Calibri" w:hAnsi="Calibri"/>
                <w:sz w:val="19"/>
                <w:szCs w:val="19"/>
              </w:rPr>
              <w:t xml:space="preserve">71 — measured across 180 clinic operators surveyed Dec 2025</w:t>
            </w:r>
          </w:p>
        </w:tc>
      </w:tr>
      <w:tr>
        <w:tc>
          <w:tcPr>
            <w:tcW w:type="pct" w:w="35%"/>
            <w:shd w:fill="F0F4F8" w:color="F0F4F8" w:val="solid"/>
          </w:tcPr>
          <w:p>
            <w:r>
              <w:rPr>
                <w:rFonts w:ascii="Calibri" w:cs="Calibri" w:eastAsia="Calibri" w:hAnsi="Calibri"/>
                <w:b/>
                <w:bCs/>
                <w:color w:val="0D1B3E"/>
                <w:sz w:val="19"/>
                <w:szCs w:val="19"/>
              </w:rPr>
              <w:t xml:space="preserve">Government MOUs</w:t>
            </w:r>
          </w:p>
        </w:tc>
        <w:tc>
          <w:tcPr>
            <w:tcW w:type="pct" w:w="65%"/>
            <w:shd w:fill="FFFFFF" w:color="FFFFFF" w:val="solid"/>
          </w:tcPr>
          <w:p>
            <w:r>
              <w:rPr>
                <w:rFonts w:ascii="Calibri" w:cs="Calibri" w:eastAsia="Calibri" w:hAnsi="Calibri"/>
                <w:sz w:val="19"/>
                <w:szCs w:val="19"/>
              </w:rPr>
              <w:t xml:space="preserve">3 state government MOUs signed (NHM Maharashtra, NHM UP, NHM MP)</w:t>
            </w:r>
          </w:p>
        </w:tc>
      </w:tr>
      <w:tr>
        <w:tc>
          <w:tcPr>
            <w:tcW w:type="pct" w:w="35%"/>
            <w:shd w:fill="FFFFFF" w:color="FFFFFF" w:val="solid"/>
          </w:tcPr>
          <w:p>
            <w:r>
              <w:rPr>
                <w:rFonts w:ascii="Calibri" w:cs="Calibri" w:eastAsia="Calibri" w:hAnsi="Calibri"/>
                <w:b/>
                <w:bCs/>
                <w:color w:val="0D1B3E"/>
                <w:sz w:val="19"/>
                <w:szCs w:val="19"/>
              </w:rPr>
              <w:t xml:space="preserve">Media Recognition</w:t>
            </w:r>
          </w:p>
        </w:tc>
        <w:tc>
          <w:tcPr>
            <w:tcW w:type="pct" w:w="65%"/>
            <w:shd w:fill="FFFFFF" w:color="FFFFFF" w:val="solid"/>
          </w:tcPr>
          <w:p>
            <w:r>
              <w:rPr>
                <w:rFonts w:ascii="Calibri" w:cs="Calibri" w:eastAsia="Calibri" w:hAnsi="Calibri"/>
                <w:sz w:val="19"/>
                <w:szCs w:val="19"/>
              </w:rPr>
              <w:t xml:space="preserve">Economic Times, CNBC TV18, YourStory — Top 10 HealthTech 2025</w:t>
            </w:r>
          </w:p>
        </w:tc>
      </w:tr>
    </w:tbl>
    <w:p>
      <w:pPr>
        <w:pStyle w:val="Heading1"/>
        <w:shd w:fill="0D1B3E" w:color="0D1B3E" w:val="solid"/>
        <w:spacing w:before="280" w:after="120"/>
        <w:rPr>
          <w:rFonts w:ascii="Calibri" w:cs="Calibri" w:eastAsia="Calibri" w:hAnsi="Calibri"/>
          <w:b/>
          <w:bCs/>
          <w:color w:val="FFFFFF"/>
          <w:sz w:val="28"/>
          <w:szCs w:val="28"/>
        </w:rPr>
      </w:pPr>
      <w:r>
        <w:t xml:space="preserve">5. COMPETITIVE ANALYSIS &amp; DIFFERENTIATION</w:t>
      </w:r>
    </w:p>
    <w:p>
      <w:pPr>
        <w:spacing w:before="60" w:after="60"/>
      </w:pPr>
      <w:r>
        <w:rPr>
          <w:rFonts w:ascii="Calibri" w:cs="Calibri" w:eastAsia="Calibri" w:hAnsi="Calibri"/>
          <w:b w:val="false"/>
          <w:bCs w:val="false"/>
          <w:color w:val="333333"/>
          <w:sz w:val="20"/>
          <w:szCs w:val="20"/>
        </w:rPr>
        <w:t xml:space="preserve">NovaMed competes in the rural diagnostics AI space. Key competitors and NovaMed's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D6E8A" w:color="0D6E8A" w:val="solid"/>
          </w:tcPr>
          <w:p>
            <w:r>
              <w:rPr>
                <w:rFonts w:ascii="Calibri" w:cs="Calibri" w:eastAsia="Calibri" w:hAnsi="Calibri"/>
                <w:b/>
                <w:bCs/>
                <w:color w:val="FFFFFF"/>
                <w:sz w:val="19"/>
                <w:szCs w:val="19"/>
              </w:rPr>
              <w:t xml:space="preserve">Company</w:t>
            </w:r>
          </w:p>
        </w:tc>
        <w:tc>
          <w:tcPr>
            <w:shd w:fill="0D6E8A" w:color="0D6E8A" w:val="solid"/>
          </w:tcPr>
          <w:p>
            <w:r>
              <w:rPr>
                <w:rFonts w:ascii="Calibri" w:cs="Calibri" w:eastAsia="Calibri" w:hAnsi="Calibri"/>
                <w:b/>
                <w:bCs/>
                <w:color w:val="FFFFFF"/>
                <w:sz w:val="19"/>
                <w:szCs w:val="19"/>
              </w:rPr>
              <w:t xml:space="preserve">Focus</w:t>
            </w:r>
          </w:p>
        </w:tc>
        <w:tc>
          <w:tcPr>
            <w:shd w:fill="0D6E8A" w:color="0D6E8A" w:val="solid"/>
          </w:tcPr>
          <w:p>
            <w:r>
              <w:rPr>
                <w:rFonts w:ascii="Calibri" w:cs="Calibri" w:eastAsia="Calibri" w:hAnsi="Calibri"/>
                <w:b/>
                <w:bCs/>
                <w:color w:val="FFFFFF"/>
                <w:sz w:val="19"/>
                <w:szCs w:val="19"/>
              </w:rPr>
              <w:t xml:space="preserve">Weakness vs NovaMed</w:t>
            </w:r>
          </w:p>
        </w:tc>
      </w:tr>
      <w:tr>
        <w:tc>
          <w:tcPr>
            <w:shd w:fill="F5F7FB" w:color="F5F7FB" w:val="solid"/>
          </w:tcPr>
          <w:p>
            <w:r>
              <w:rPr>
                <w:rFonts w:ascii="Calibri" w:cs="Calibri" w:eastAsia="Calibri" w:hAnsi="Calibri"/>
                <w:b w:val="false"/>
                <w:bCs w:val="false"/>
                <w:color w:val="333333"/>
                <w:sz w:val="19"/>
                <w:szCs w:val="19"/>
              </w:rPr>
              <w:t xml:space="preserve">Niramai Health</w:t>
            </w:r>
          </w:p>
        </w:tc>
        <w:tc>
          <w:tcPr>
            <w:shd w:fill="F5F7FB" w:color="F5F7FB" w:val="solid"/>
          </w:tcPr>
          <w:p>
            <w:r>
              <w:rPr>
                <w:rFonts w:ascii="Calibri" w:cs="Calibri" w:eastAsia="Calibri" w:hAnsi="Calibri"/>
                <w:b w:val="false"/>
                <w:bCs w:val="false"/>
                <w:color w:val="333333"/>
                <w:sz w:val="19"/>
                <w:szCs w:val="19"/>
              </w:rPr>
              <w:t xml:space="preserve">Breast cancer screening AI</w:t>
            </w:r>
          </w:p>
        </w:tc>
        <w:tc>
          <w:tcPr>
            <w:shd w:fill="F5F7FB" w:color="F5F7FB" w:val="solid"/>
          </w:tcPr>
          <w:p>
            <w:r>
              <w:rPr>
                <w:rFonts w:ascii="Calibri" w:cs="Calibri" w:eastAsia="Calibri" w:hAnsi="Calibri"/>
                <w:b w:val="false"/>
                <w:bCs w:val="false"/>
                <w:color w:val="333333"/>
                <w:sz w:val="19"/>
                <w:szCs w:val="19"/>
              </w:rPr>
              <w:t xml:space="preserve">Single use-case; no rural hardware; urban focus</w:t>
            </w:r>
          </w:p>
        </w:tc>
      </w:tr>
      <w:tr>
        <w:tc>
          <w:tcPr>
            <w:shd w:fill="FFFFFF" w:color="FFFFFF" w:val="solid"/>
          </w:tcPr>
          <w:p>
            <w:r>
              <w:rPr>
                <w:rFonts w:ascii="Calibri" w:cs="Calibri" w:eastAsia="Calibri" w:hAnsi="Calibri"/>
                <w:b w:val="false"/>
                <w:bCs w:val="false"/>
                <w:color w:val="333333"/>
                <w:sz w:val="19"/>
                <w:szCs w:val="19"/>
              </w:rPr>
              <w:t xml:space="preserve">Tricog Health</w:t>
            </w:r>
          </w:p>
        </w:tc>
        <w:tc>
          <w:tcPr>
            <w:shd w:fill="FFFFFF" w:color="FFFFFF" w:val="solid"/>
          </w:tcPr>
          <w:p>
            <w:r>
              <w:rPr>
                <w:rFonts w:ascii="Calibri" w:cs="Calibri" w:eastAsia="Calibri" w:hAnsi="Calibri"/>
                <w:b w:val="false"/>
                <w:bCs w:val="false"/>
                <w:color w:val="333333"/>
                <w:sz w:val="19"/>
                <w:szCs w:val="19"/>
              </w:rPr>
              <w:t xml:space="preserve">Remote ECG interpretation</w:t>
            </w:r>
          </w:p>
        </w:tc>
        <w:tc>
          <w:tcPr>
            <w:shd w:fill="FFFFFF" w:color="FFFFFF" w:val="solid"/>
          </w:tcPr>
          <w:p>
            <w:r>
              <w:rPr>
                <w:rFonts w:ascii="Calibri" w:cs="Calibri" w:eastAsia="Calibri" w:hAnsi="Calibri"/>
                <w:b w:val="false"/>
                <w:bCs w:val="false"/>
                <w:color w:val="333333"/>
                <w:sz w:val="19"/>
                <w:szCs w:val="19"/>
              </w:rPr>
              <w:t xml:space="preserve">ECG only; no multi-diagnostic capability</w:t>
            </w:r>
          </w:p>
        </w:tc>
      </w:tr>
      <w:tr>
        <w:tc>
          <w:tcPr>
            <w:shd w:fill="F5F7FB" w:color="F5F7FB" w:val="solid"/>
          </w:tcPr>
          <w:p>
            <w:r>
              <w:rPr>
                <w:rFonts w:ascii="Calibri" w:cs="Calibri" w:eastAsia="Calibri" w:hAnsi="Calibri"/>
                <w:b w:val="false"/>
                <w:bCs w:val="false"/>
                <w:color w:val="333333"/>
                <w:sz w:val="19"/>
                <w:szCs w:val="19"/>
              </w:rPr>
              <w:t xml:space="preserve">Philips HealthSuite</w:t>
            </w:r>
          </w:p>
        </w:tc>
        <w:tc>
          <w:tcPr>
            <w:shd w:fill="F5F7FB" w:color="F5F7FB" w:val="solid"/>
          </w:tcPr>
          <w:p>
            <w:r>
              <w:rPr>
                <w:rFonts w:ascii="Calibri" w:cs="Calibri" w:eastAsia="Calibri" w:hAnsi="Calibri"/>
                <w:b w:val="false"/>
                <w:bCs w:val="false"/>
                <w:color w:val="333333"/>
                <w:sz w:val="19"/>
                <w:szCs w:val="19"/>
              </w:rPr>
              <w:t xml:space="preserve">Hospital-grade diagnostics</w:t>
            </w:r>
          </w:p>
        </w:tc>
        <w:tc>
          <w:tcPr>
            <w:shd w:fill="F5F7FB" w:color="F5F7FB" w:val="solid"/>
          </w:tcPr>
          <w:p>
            <w:r>
              <w:rPr>
                <w:rFonts w:ascii="Calibri" w:cs="Calibri" w:eastAsia="Calibri" w:hAnsi="Calibri"/>
                <w:b w:val="false"/>
                <w:bCs w:val="false"/>
                <w:color w:val="333333"/>
                <w:sz w:val="19"/>
                <w:szCs w:val="19"/>
              </w:rPr>
              <w:t xml:space="preserve">₹15L+ device cost; not deployable in rural clinics</w:t>
            </w:r>
          </w:p>
        </w:tc>
      </w:tr>
      <w:tr>
        <w:tc>
          <w:tcPr>
            <w:shd w:fill="FFFFFF" w:color="FFFFFF" w:val="solid"/>
          </w:tcPr>
          <w:p>
            <w:r>
              <w:rPr>
                <w:rFonts w:ascii="Calibri" w:cs="Calibri" w:eastAsia="Calibri" w:hAnsi="Calibri"/>
                <w:b w:val="false"/>
                <w:bCs w:val="false"/>
                <w:color w:val="333333"/>
                <w:sz w:val="19"/>
                <w:szCs w:val="19"/>
              </w:rPr>
              <w:t xml:space="preserve">GE Healthcare</w:t>
            </w:r>
          </w:p>
        </w:tc>
        <w:tc>
          <w:tcPr>
            <w:shd w:fill="FFFFFF" w:color="FFFFFF" w:val="solid"/>
          </w:tcPr>
          <w:p>
            <w:r>
              <w:rPr>
                <w:rFonts w:ascii="Calibri" w:cs="Calibri" w:eastAsia="Calibri" w:hAnsi="Calibri"/>
                <w:b w:val="false"/>
                <w:bCs w:val="false"/>
                <w:color w:val="333333"/>
                <w:sz w:val="19"/>
                <w:szCs w:val="19"/>
              </w:rPr>
              <w:t xml:space="preserve">Hospital equipment + AI</w:t>
            </w:r>
          </w:p>
        </w:tc>
        <w:tc>
          <w:tcPr>
            <w:shd w:fill="FFFFFF" w:color="FFFFFF" w:val="solid"/>
          </w:tcPr>
          <w:p>
            <w:r>
              <w:rPr>
                <w:rFonts w:ascii="Calibri" w:cs="Calibri" w:eastAsia="Calibri" w:hAnsi="Calibri"/>
                <w:b w:val="false"/>
                <w:bCs w:val="false"/>
                <w:color w:val="333333"/>
                <w:sz w:val="19"/>
                <w:szCs w:val="19"/>
              </w:rPr>
              <w:t xml:space="preserve">Enterprise only; no rural SaaS model; no India-specific AI</w:t>
            </w:r>
          </w:p>
        </w:tc>
      </w:tr>
      <w:tr>
        <w:tc>
          <w:tcPr>
            <w:shd w:fill="F5F7FB" w:color="F5F7FB" w:val="solid"/>
          </w:tcPr>
          <w:p>
            <w:r>
              <w:rPr>
                <w:rFonts w:ascii="Calibri" w:cs="Calibri" w:eastAsia="Calibri" w:hAnsi="Calibri"/>
                <w:b w:val="false"/>
                <w:bCs w:val="false"/>
                <w:color w:val="333333"/>
                <w:sz w:val="19"/>
                <w:szCs w:val="19"/>
              </w:rPr>
              <w:t xml:space="preserve">SigTuple</w:t>
            </w:r>
          </w:p>
        </w:tc>
        <w:tc>
          <w:tcPr>
            <w:shd w:fill="F5F7FB" w:color="F5F7FB" w:val="solid"/>
          </w:tcPr>
          <w:p>
            <w:r>
              <w:rPr>
                <w:rFonts w:ascii="Calibri" w:cs="Calibri" w:eastAsia="Calibri" w:hAnsi="Calibri"/>
                <w:b w:val="false"/>
                <w:bCs w:val="false"/>
                <w:color w:val="333333"/>
                <w:sz w:val="19"/>
                <w:szCs w:val="19"/>
              </w:rPr>
              <w:t xml:space="preserve">Blood test AI</w:t>
            </w:r>
          </w:p>
        </w:tc>
        <w:tc>
          <w:tcPr>
            <w:shd w:fill="F5F7FB" w:color="F5F7FB" w:val="solid"/>
          </w:tcPr>
          <w:p>
            <w:r>
              <w:rPr>
                <w:rFonts w:ascii="Calibri" w:cs="Calibri" w:eastAsia="Calibri" w:hAnsi="Calibri"/>
                <w:b w:val="false"/>
                <w:bCs w:val="false"/>
                <w:color w:val="333333"/>
                <w:sz w:val="19"/>
                <w:szCs w:val="19"/>
              </w:rPr>
              <w:t xml:space="preserve">Lab-based; requires lab infrastructure; not portable</w:t>
            </w:r>
          </w:p>
        </w:tc>
      </w:tr>
      <w:tr>
        <w:tc>
          <w:tcPr>
            <w:shd w:fill="FFF8E1" w:color="FFF8E1" w:val="solid"/>
          </w:tcPr>
          <w:p>
            <w:r>
              <w:rPr>
                <w:rFonts w:ascii="Calibri" w:cs="Calibri" w:eastAsia="Calibri" w:hAnsi="Calibri"/>
                <w:b/>
                <w:bCs/>
                <w:color w:val="0D1B3E"/>
                <w:sz w:val="19"/>
                <w:szCs w:val="19"/>
              </w:rPr>
              <w:t xml:space="preserve">NovaMed AI ✓</w:t>
            </w:r>
          </w:p>
        </w:tc>
        <w:tc>
          <w:tcPr>
            <w:shd w:fill="FFF8E1" w:color="FFF8E1" w:val="solid"/>
          </w:tcPr>
          <w:p>
            <w:r>
              <w:rPr>
                <w:rFonts w:ascii="Calibri" w:cs="Calibri" w:eastAsia="Calibri" w:hAnsi="Calibri"/>
                <w:b/>
                <w:bCs/>
                <w:color w:val="0D1B3E"/>
                <w:sz w:val="19"/>
                <w:szCs w:val="19"/>
              </w:rPr>
              <w:t xml:space="preserve">All-in-one rural diagnostic AI</w:t>
            </w:r>
          </w:p>
        </w:tc>
        <w:tc>
          <w:tcPr>
            <w:shd w:fill="FFF8E1" w:color="FFF8E1" w:val="solid"/>
          </w:tcPr>
          <w:p>
            <w:r>
              <w:rPr>
                <w:rFonts w:ascii="Calibri" w:cs="Calibri" w:eastAsia="Calibri" w:hAnsi="Calibri"/>
                <w:b/>
                <w:bCs/>
                <w:color w:val="0D1B3E"/>
                <w:sz w:val="19"/>
                <w:szCs w:val="19"/>
              </w:rPr>
              <w:t xml:space="preserve">ONLY player combining portable hardware + India-trained AI + SaaS</w:t>
            </w:r>
          </w:p>
        </w:tc>
      </w:tr>
    </w:tbl>
    <w:p>
      <w:pPr>
        <w:spacing w:before="60" w:after="60"/>
      </w:pPr>
      <w:r>
        <w:rPr>
          <w:rFonts w:ascii="Calibri" w:cs="Calibri" w:eastAsia="Calibri" w:hAnsi="Calibri"/>
          <w:b w:val="false"/>
          <w:bCs w:val="false"/>
          <w:color w:val="333333"/>
          <w:sz w:val="20"/>
          <w:szCs w:val="20"/>
        </w:rPr>
        <w:t xml:space="preserve">NovaMed's moat: 2.3M Indian patient training dataset (competitors have &lt;200K), proprietary low-bandwidth AI inference engine, and first-mover advantage with government NHM relationships.</w:t>
      </w:r>
    </w:p>
    <w:p>
      <w:pPr>
        <w:pStyle w:val="Heading1"/>
        <w:shd w:fill="0D1B3E" w:color="0D1B3E" w:val="solid"/>
        <w:spacing w:before="280" w:after="120"/>
        <w:rPr>
          <w:rFonts w:ascii="Calibri" w:cs="Calibri" w:eastAsia="Calibri" w:hAnsi="Calibri"/>
          <w:b/>
          <w:bCs/>
          <w:color w:val="FFFFFF"/>
          <w:sz w:val="28"/>
          <w:szCs w:val="28"/>
        </w:rPr>
      </w:pPr>
      <w:r>
        <w:t xml:space="preserve">6. RISK FACTORS &amp;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0D1B3E" w:color="0D1B3E" w:val="solid"/>
          </w:tcPr>
          <w:p>
            <w:r>
              <w:rPr>
                <w:rFonts w:ascii="Calibri" w:cs="Calibri" w:eastAsia="Calibri" w:hAnsi="Calibri"/>
                <w:b/>
                <w:bCs/>
                <w:color w:val="FFFFFF"/>
                <w:sz w:val="19"/>
                <w:szCs w:val="19"/>
              </w:rPr>
              <w:t xml:space="preserve">Risk</w:t>
            </w:r>
          </w:p>
        </w:tc>
        <w:tc>
          <w:tcPr>
            <w:tcW w:type="pct" w:w="12%"/>
            <w:shd w:fill="0D1B3E" w:color="0D1B3E" w:val="solid"/>
          </w:tcPr>
          <w:p>
            <w:r>
              <w:rPr>
                <w:rFonts w:ascii="Calibri" w:cs="Calibri" w:eastAsia="Calibri" w:hAnsi="Calibri"/>
                <w:b/>
                <w:bCs/>
                <w:color w:val="FFFFFF"/>
                <w:sz w:val="19"/>
                <w:szCs w:val="19"/>
              </w:rPr>
              <w:t xml:space="preserve">Severity</w:t>
            </w:r>
          </w:p>
        </w:tc>
        <w:tc>
          <w:tcPr>
            <w:tcW w:type="pct" w:w="63%"/>
            <w:shd w:fill="0D1B3E" w:color="0D1B3E" w:val="solid"/>
          </w:tcPr>
          <w:p>
            <w:r>
              <w:rPr>
                <w:rFonts w:ascii="Calibri" w:cs="Calibri" w:eastAsia="Calibri" w:hAnsi="Calibri"/>
                <w:b/>
                <w:bCs/>
                <w:color w:val="FFFFFF"/>
                <w:sz w:val="19"/>
                <w:szCs w:val="19"/>
              </w:rPr>
              <w:t xml:space="preserve">Mitigation</w:t>
            </w:r>
          </w:p>
        </w:tc>
      </w:tr>
      <w:tr>
        <w:tc>
          <w:tcPr>
            <w:shd w:fill="F0F4F8" w:color="F0F4F8" w:val="solid"/>
          </w:tcPr>
          <w:p>
            <w:r>
              <w:rPr>
                <w:rFonts w:ascii="Calibri" w:cs="Calibri" w:eastAsia="Calibri" w:hAnsi="Calibri"/>
                <w:b/>
                <w:bCs/>
                <w:sz w:val="19"/>
                <w:szCs w:val="19"/>
              </w:rPr>
              <w:t xml:space="preserve">CDSCO Approval Delay</w:t>
            </w:r>
          </w:p>
        </w:tc>
        <w:tc>
          <w:tcPr>
            <w:shd w:fill="F0F4F8" w:color="F0F4F8" w:val="solid"/>
          </w:tcPr>
          <w:p>
            <w:r>
              <w:rPr>
                <w:rFonts w:ascii="Calibri" w:cs="Calibri" w:eastAsia="Calibri" w:hAnsi="Calibri"/>
                <w:color w:val="C0392B"/>
                <w:sz w:val="19"/>
                <w:szCs w:val="19"/>
              </w:rPr>
              <w:t xml:space="preserve">High</w:t>
            </w:r>
          </w:p>
        </w:tc>
        <w:tc>
          <w:tcPr>
            <w:shd w:fill="F0F4F8" w:color="F0F4F8" w:val="solid"/>
          </w:tcPr>
          <w:p>
            <w:r>
              <w:rPr>
                <w:rFonts w:ascii="Calibri" w:cs="Calibri" w:eastAsia="Calibri" w:hAnsi="Calibri"/>
                <w:sz w:val="19"/>
                <w:szCs w:val="19"/>
              </w:rPr>
              <w:t xml:space="preserve">Application filed Jan 2026; legal team engaged; CE marking as backup; current sales continue under non-regulated device classification</w:t>
            </w:r>
          </w:p>
        </w:tc>
      </w:tr>
      <w:tr>
        <w:tc>
          <w:tcPr>
            <w:shd w:fill="FFFFFF" w:color="FFFFFF" w:val="solid"/>
          </w:tcPr>
          <w:p>
            <w:r>
              <w:rPr>
                <w:rFonts w:ascii="Calibri" w:cs="Calibri" w:eastAsia="Calibri" w:hAnsi="Calibri"/>
                <w:b/>
                <w:bCs/>
                <w:sz w:val="19"/>
                <w:szCs w:val="19"/>
              </w:rPr>
              <w:t xml:space="preserve">Diagnostic Accuracy Liability</w:t>
            </w:r>
          </w:p>
        </w:tc>
        <w:tc>
          <w:tcPr>
            <w:shd w:fill="FFFFFF" w:color="FFFFFF" w:val="solid"/>
          </w:tcPr>
          <w:p>
            <w:r>
              <w:rPr>
                <w:rFonts w:ascii="Calibri" w:cs="Calibri" w:eastAsia="Calibri" w:hAnsi="Calibri"/>
                <w:color w:val="E67E22"/>
                <w:sz w:val="19"/>
                <w:szCs w:val="19"/>
              </w:rPr>
              <w:t xml:space="preserve">Medium</w:t>
            </w:r>
          </w:p>
        </w:tc>
        <w:tc>
          <w:tcPr>
            <w:shd w:fill="FFFFFF" w:color="FFFFFF" w:val="solid"/>
          </w:tcPr>
          <w:p>
            <w:r>
              <w:rPr>
                <w:rFonts w:ascii="Calibri" w:cs="Calibri" w:eastAsia="Calibri" w:hAnsi="Calibri"/>
                <w:sz w:val="19"/>
                <w:szCs w:val="19"/>
              </w:rPr>
              <w:t xml:space="preserve">94.3% accuracy + mandatory doctor review for all critical findings; ₹2Cr liability insurance; all reports flagged as AI-assisted (not standalone diagnosis)</w:t>
            </w:r>
          </w:p>
        </w:tc>
      </w:tr>
      <w:tr>
        <w:tc>
          <w:tcPr>
            <w:shd w:fill="F0F4F8" w:color="F0F4F8" w:val="solid"/>
          </w:tcPr>
          <w:p>
            <w:r>
              <w:rPr>
                <w:rFonts w:ascii="Calibri" w:cs="Calibri" w:eastAsia="Calibri" w:hAnsi="Calibri"/>
                <w:b/>
                <w:bCs/>
                <w:sz w:val="19"/>
                <w:szCs w:val="19"/>
              </w:rPr>
              <w:t xml:space="preserve">Google/Amazon HealthTech Entry</w:t>
            </w:r>
          </w:p>
        </w:tc>
        <w:tc>
          <w:tcPr>
            <w:shd w:fill="F0F4F8" w:color="F0F4F8" w:val="solid"/>
          </w:tcPr>
          <w:p>
            <w:r>
              <w:rPr>
                <w:rFonts w:ascii="Calibri" w:cs="Calibri" w:eastAsia="Calibri" w:hAnsi="Calibri"/>
                <w:color w:val="E67E22"/>
                <w:sz w:val="19"/>
                <w:szCs w:val="19"/>
              </w:rPr>
              <w:t xml:space="preserve">Medium</w:t>
            </w:r>
          </w:p>
        </w:tc>
        <w:tc>
          <w:tcPr>
            <w:shd w:fill="F0F4F8" w:color="F0F4F8" w:val="solid"/>
          </w:tcPr>
          <w:p>
            <w:r>
              <w:rPr>
                <w:rFonts w:ascii="Calibri" w:cs="Calibri" w:eastAsia="Calibri" w:hAnsi="Calibri"/>
                <w:sz w:val="19"/>
                <w:szCs w:val="19"/>
              </w:rPr>
              <w:t xml:space="preserve">2.3M Indian patient dataset moat; NHM govt relationships; 5-year head start on rural distribution; switching cost high after 340+ clinic deployments</w:t>
            </w:r>
          </w:p>
        </w:tc>
      </w:tr>
      <w:tr>
        <w:tc>
          <w:tcPr>
            <w:shd w:fill="FFFFFF" w:color="FFFFFF" w:val="solid"/>
          </w:tcPr>
          <w:p>
            <w:r>
              <w:rPr>
                <w:rFonts w:ascii="Calibri" w:cs="Calibri" w:eastAsia="Calibri" w:hAnsi="Calibri"/>
                <w:b/>
                <w:bCs/>
                <w:sz w:val="19"/>
                <w:szCs w:val="19"/>
              </w:rPr>
              <w:t xml:space="preserve">Hardware Supply Chain</w:t>
            </w:r>
          </w:p>
        </w:tc>
        <w:tc>
          <w:tcPr>
            <w:shd w:fill="FFFFFF" w:color="FFFFFF" w:val="solid"/>
          </w:tcPr>
          <w:p>
            <w:r>
              <w:rPr>
                <w:rFonts w:ascii="Calibri" w:cs="Calibri" w:eastAsia="Calibri" w:hAnsi="Calibri"/>
                <w:color w:val="E67E22"/>
                <w:sz w:val="19"/>
                <w:szCs w:val="19"/>
              </w:rPr>
              <w:t xml:space="preserve">Medium</w:t>
            </w:r>
          </w:p>
        </w:tc>
        <w:tc>
          <w:tcPr>
            <w:shd w:fill="FFFFFF" w:color="FFFFFF" w:val="solid"/>
          </w:tcPr>
          <w:p>
            <w:r>
              <w:rPr>
                <w:rFonts w:ascii="Calibri" w:cs="Calibri" w:eastAsia="Calibri" w:hAnsi="Calibri"/>
                <w:sz w:val="19"/>
                <w:szCs w:val="19"/>
              </w:rPr>
              <w:t xml:space="preserve">Dual sourcing from 3 manufacturers; 60-day inventory buffer; NovaScan v2.0 moves to local manufacturing (MSME partner in Pune)</w:t>
            </w:r>
          </w:p>
        </w:tc>
      </w:tr>
      <w:tr>
        <w:tc>
          <w:tcPr>
            <w:shd w:fill="F0F4F8" w:color="F0F4F8" w:val="solid"/>
          </w:tcPr>
          <w:p>
            <w:r>
              <w:rPr>
                <w:rFonts w:ascii="Calibri" w:cs="Calibri" w:eastAsia="Calibri" w:hAnsi="Calibri"/>
                <w:b/>
                <w:bCs/>
                <w:sz w:val="19"/>
                <w:szCs w:val="19"/>
              </w:rPr>
              <w:t xml:space="preserve">Data Privacy (PDPB 2023)</w:t>
            </w:r>
          </w:p>
        </w:tc>
        <w:tc>
          <w:tcPr>
            <w:shd w:fill="F0F4F8" w:color="F0F4F8" w:val="solid"/>
          </w:tcPr>
          <w:p>
            <w:r>
              <w:rPr>
                <w:rFonts w:ascii="Calibri" w:cs="Calibri" w:eastAsia="Calibri" w:hAnsi="Calibri"/>
                <w:color w:val="27AE60"/>
                <w:sz w:val="19"/>
                <w:szCs w:val="19"/>
              </w:rPr>
              <w:t xml:space="preserve">Low</w:t>
            </w:r>
          </w:p>
        </w:tc>
        <w:tc>
          <w:tcPr>
            <w:shd w:fill="F0F4F8" w:color="F0F4F8" w:val="solid"/>
          </w:tcPr>
          <w:p>
            <w:r>
              <w:rPr>
                <w:rFonts w:ascii="Calibri" w:cs="Calibri" w:eastAsia="Calibri" w:hAnsi="Calibri"/>
                <w:sz w:val="19"/>
                <w:szCs w:val="19"/>
              </w:rPr>
              <w:t xml:space="preserve">All patient data anonymized at device level; zero PII transmitted to cloud; CERT-In compliant; HIPAA-aligned architecture</w:t>
            </w:r>
          </w:p>
        </w:tc>
      </w:tr>
      <w:tr>
        <w:tc>
          <w:tcPr>
            <w:shd w:fill="FFFFFF" w:color="FFFFFF" w:val="solid"/>
          </w:tcPr>
          <w:p>
            <w:r>
              <w:rPr>
                <w:rFonts w:ascii="Calibri" w:cs="Calibri" w:eastAsia="Calibri" w:hAnsi="Calibri"/>
                <w:b/>
                <w:bCs/>
                <w:sz w:val="19"/>
                <w:szCs w:val="19"/>
              </w:rPr>
              <w:t xml:space="preserve">Rural Connectivity Gaps</w:t>
            </w:r>
          </w:p>
        </w:tc>
        <w:tc>
          <w:tcPr>
            <w:shd w:fill="FFFFFF" w:color="FFFFFF" w:val="solid"/>
          </w:tcPr>
          <w:p>
            <w:r>
              <w:rPr>
                <w:rFonts w:ascii="Calibri" w:cs="Calibri" w:eastAsia="Calibri" w:hAnsi="Calibri"/>
                <w:color w:val="27AE60"/>
                <w:sz w:val="19"/>
                <w:szCs w:val="19"/>
              </w:rPr>
              <w:t xml:space="preserve">Low</w:t>
            </w:r>
          </w:p>
        </w:tc>
        <w:tc>
          <w:tcPr>
            <w:shd w:fill="FFFFFF" w:color="FFFFFF" w:val="solid"/>
          </w:tcPr>
          <w:p>
            <w:r>
              <w:rPr>
                <w:rFonts w:ascii="Calibri" w:cs="Calibri" w:eastAsia="Calibri" w:hAnsi="Calibri"/>
                <w:sz w:val="19"/>
                <w:szCs w:val="19"/>
              </w:rPr>
              <w:t xml:space="preserve">Store-and-forward technology works offline; 4G + satellite fallback; tested in 0-network conditions in Bihar and Odisha</w:t>
            </w:r>
          </w:p>
        </w:tc>
      </w:tr>
    </w:tbl>
    <w:p>
      <w:pPr>
        <w:pStyle w:val="Heading1"/>
        <w:shd w:fill="0D1B3E" w:color="0D1B3E" w:val="solid"/>
        <w:spacing w:before="280" w:after="120"/>
        <w:rPr>
          <w:rFonts w:ascii="Calibri" w:cs="Calibri" w:eastAsia="Calibri" w:hAnsi="Calibri"/>
          <w:b/>
          <w:bCs/>
          <w:color w:val="FFFFFF"/>
          <w:sz w:val="28"/>
          <w:szCs w:val="28"/>
        </w:rPr>
      </w:pPr>
      <w:r>
        <w:t xml:space="preserve">7. USE OF FUNDS — $3,000,000 SERIES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Product &amp; Technology (35%)</w:t>
            </w:r>
          </w:p>
        </w:tc>
        <w:tc>
          <w:tcPr>
            <w:tcW w:type="pct" w:w="65%"/>
            <w:shd w:fill="FFFFFF" w:color="FFFFFF" w:val="solid"/>
          </w:tcPr>
          <w:p>
            <w:r>
              <w:rPr>
                <w:rFonts w:ascii="Calibri" w:cs="Calibri" w:eastAsia="Calibri" w:hAnsi="Calibri"/>
                <w:sz w:val="19"/>
                <w:szCs w:val="19"/>
              </w:rPr>
              <w:t xml:space="preserve">$1,050,000 — NovaScan v2.0 dev, AI model v3.0, cloud infra scaling to 10,000 scans/day</w:t>
            </w:r>
          </w:p>
        </w:tc>
      </w:tr>
      <w:tr>
        <w:tc>
          <w:tcPr>
            <w:tcW w:type="pct" w:w="35%"/>
            <w:shd w:fill="FFFFFF" w:color="FFFFFF" w:val="solid"/>
          </w:tcPr>
          <w:p>
            <w:r>
              <w:rPr>
                <w:rFonts w:ascii="Calibri" w:cs="Calibri" w:eastAsia="Calibri" w:hAnsi="Calibri"/>
                <w:b/>
                <w:bCs/>
                <w:color w:val="0D1B3E"/>
                <w:sz w:val="19"/>
                <w:szCs w:val="19"/>
              </w:rPr>
              <w:t xml:space="preserve">Sales &amp; Market Expansion (30%)</w:t>
            </w:r>
          </w:p>
        </w:tc>
        <w:tc>
          <w:tcPr>
            <w:tcW w:type="pct" w:w="65%"/>
            <w:shd w:fill="FFFFFF" w:color="FFFFFF" w:val="solid"/>
          </w:tcPr>
          <w:p>
            <w:r>
              <w:rPr>
                <w:rFonts w:ascii="Calibri" w:cs="Calibri" w:eastAsia="Calibri" w:hAnsi="Calibri"/>
                <w:sz w:val="19"/>
                <w:szCs w:val="19"/>
              </w:rPr>
              <w:t xml:space="preserve">$900,000 — Scale 340→2,000 clinics; 12 states; government tender team (5 FTEs)</w:t>
            </w:r>
          </w:p>
        </w:tc>
      </w:tr>
      <w:tr>
        <w:tc>
          <w:tcPr>
            <w:tcW w:type="pct" w:w="35%"/>
            <w:shd w:fill="F0F4F8" w:color="F0F4F8" w:val="solid"/>
          </w:tcPr>
          <w:p>
            <w:r>
              <w:rPr>
                <w:rFonts w:ascii="Calibri" w:cs="Calibri" w:eastAsia="Calibri" w:hAnsi="Calibri"/>
                <w:b/>
                <w:bCs/>
                <w:color w:val="0D1B3E"/>
                <w:sz w:val="19"/>
                <w:szCs w:val="19"/>
              </w:rPr>
              <w:t xml:space="preserve">Regulatory &amp; Clinical (15%)</w:t>
            </w:r>
          </w:p>
        </w:tc>
        <w:tc>
          <w:tcPr>
            <w:tcW w:type="pct" w:w="65%"/>
            <w:shd w:fill="FFFFFF" w:color="FFFFFF" w:val="solid"/>
          </w:tcPr>
          <w:p>
            <w:r>
              <w:rPr>
                <w:rFonts w:ascii="Calibri" w:cs="Calibri" w:eastAsia="Calibri" w:hAnsi="Calibri"/>
                <w:sz w:val="19"/>
                <w:szCs w:val="19"/>
              </w:rPr>
              <w:t xml:space="preserve">$450,000 — CDSCO approval completion, clinical trials, CE marking, ISO 13485</w:t>
            </w:r>
          </w:p>
        </w:tc>
      </w:tr>
      <w:tr>
        <w:tc>
          <w:tcPr>
            <w:tcW w:type="pct" w:w="35%"/>
            <w:shd w:fill="FFFFFF" w:color="FFFFFF" w:val="solid"/>
          </w:tcPr>
          <w:p>
            <w:r>
              <w:rPr>
                <w:rFonts w:ascii="Calibri" w:cs="Calibri" w:eastAsia="Calibri" w:hAnsi="Calibri"/>
                <w:b/>
                <w:bCs/>
                <w:color w:val="0D1B3E"/>
                <w:sz w:val="19"/>
                <w:szCs w:val="19"/>
              </w:rPr>
              <w:t xml:space="preserve">Team Hiring (12%)</w:t>
            </w:r>
          </w:p>
        </w:tc>
        <w:tc>
          <w:tcPr>
            <w:tcW w:type="pct" w:w="65%"/>
            <w:shd w:fill="FFFFFF" w:color="FFFFFF" w:val="solid"/>
          </w:tcPr>
          <w:p>
            <w:r>
              <w:rPr>
                <w:rFonts w:ascii="Calibri" w:cs="Calibri" w:eastAsia="Calibri" w:hAnsi="Calibri"/>
                <w:sz w:val="19"/>
                <w:szCs w:val="19"/>
              </w:rPr>
              <w:t xml:space="preserve">$360,000 — 15 engineers (AI+embedded), 8 field sales, 3 clinical specialists, 2 finance</w:t>
            </w:r>
          </w:p>
        </w:tc>
      </w:tr>
      <w:tr>
        <w:tc>
          <w:tcPr>
            <w:tcW w:type="pct" w:w="35%"/>
            <w:shd w:fill="F0F4F8" w:color="F0F4F8" w:val="solid"/>
          </w:tcPr>
          <w:p>
            <w:r>
              <w:rPr>
                <w:rFonts w:ascii="Calibri" w:cs="Calibri" w:eastAsia="Calibri" w:hAnsi="Calibri"/>
                <w:b/>
                <w:bCs/>
                <w:color w:val="0D1B3E"/>
                <w:sz w:val="19"/>
                <w:szCs w:val="19"/>
              </w:rPr>
              <w:t xml:space="preserve">Working Capital (8%)</w:t>
            </w:r>
          </w:p>
        </w:tc>
        <w:tc>
          <w:tcPr>
            <w:tcW w:type="pct" w:w="65%"/>
            <w:shd w:fill="FFFFFF" w:color="FFFFFF" w:val="solid"/>
          </w:tcPr>
          <w:p>
            <w:r>
              <w:rPr>
                <w:rFonts w:ascii="Calibri" w:cs="Calibri" w:eastAsia="Calibri" w:hAnsi="Calibri"/>
                <w:sz w:val="19"/>
                <w:szCs w:val="19"/>
              </w:rPr>
              <w:t xml:space="preserve">$240,000 — Device inventory (200 units), logistics, customer support, legal</w:t>
            </w:r>
          </w:p>
        </w:tc>
      </w:tr>
      <w:tr>
        <w:tc>
          <w:tcPr>
            <w:tcW w:type="pct" w:w="35%"/>
            <w:shd w:fill="FFFFFF" w:color="FFFFFF" w:val="solid"/>
          </w:tcPr>
          <w:p>
            <w:r>
              <w:rPr>
                <w:rFonts w:ascii="Calibri" w:cs="Calibri" w:eastAsia="Calibri" w:hAnsi="Calibri"/>
                <w:b/>
                <w:bCs/>
                <w:color w:val="0D1B3E"/>
                <w:sz w:val="19"/>
                <w:szCs w:val="19"/>
              </w:rPr>
              <w:t xml:space="preserve">Total Raise</w:t>
            </w:r>
          </w:p>
        </w:tc>
        <w:tc>
          <w:tcPr>
            <w:tcW w:type="pct" w:w="65%"/>
            <w:shd w:fill="FFFFFF" w:color="FFFFFF" w:val="solid"/>
          </w:tcPr>
          <w:p>
            <w:r>
              <w:rPr>
                <w:rFonts w:ascii="Calibri" w:cs="Calibri" w:eastAsia="Calibri" w:hAnsi="Calibri"/>
                <w:sz w:val="19"/>
                <w:szCs w:val="19"/>
              </w:rPr>
              <w:t xml:space="preserve">$3,000,000 | Runway: 24 months | Path to EBITDA breakeven Q2 FY27</w:t>
            </w:r>
          </w:p>
        </w:tc>
      </w:tr>
    </w:tbl>
    <w:p>
      <w:pPr>
        <w:pStyle w:val="Heading1"/>
        <w:shd w:fill="0D1B3E" w:color="0D1B3E" w:val="solid"/>
        <w:spacing w:before="280" w:after="120"/>
        <w:rPr>
          <w:rFonts w:ascii="Calibri" w:cs="Calibri" w:eastAsia="Calibri" w:hAnsi="Calibri"/>
          <w:b/>
          <w:bCs/>
          <w:color w:val="FFFFFF"/>
          <w:sz w:val="28"/>
          <w:szCs w:val="28"/>
        </w:rPr>
      </w:pPr>
      <w:r>
        <w:t xml:space="preserve">8. INVESTOR FEEDBACK &amp; COMMENTS</w:t>
      </w:r>
    </w:p>
    <w:p>
      <w:pPr>
        <w:spacing w:before="60" w:after="60"/>
      </w:pPr>
      <w:r>
        <w:rPr>
          <w:rFonts w:ascii="Calibri" w:cs="Calibri" w:eastAsia="Calibri" w:hAnsi="Calibri"/>
          <w:b w:val="false"/>
          <w:bCs w:val="false"/>
          <w:color w:val="333333"/>
          <w:sz w:val="20"/>
          <w:szCs w:val="20"/>
        </w:rPr>
        <w:t xml:space="preserve">The following comments have been received from institutional investors during our preliminary discussions:</w:t>
      </w:r>
    </w:p>
    <w:p>
      <w:pPr>
        <w:spacing w:before="120"/>
      </w:pPr>
    </w:p>
    <w:p>
      <w:pPr>
        <w:pBdr>
          <w:left w:val="single" w:color="0D6E8A" w:sz="12"/>
        </w:pBdr>
        <w:shd w:fill="F8F9FA" w:color="F8F9FA" w:val="solid"/>
        <w:spacing w:before="200" w:after="60"/>
        <w:ind w:left="200"/>
      </w:pPr>
      <w:r>
        <w:rPr>
          <w:rFonts w:ascii="Calibri" w:cs="Calibri" w:eastAsia="Calibri" w:hAnsi="Calibri"/>
          <w:b/>
          <w:bCs/>
          <w:color w:val="0D1B3E"/>
          <w:sz w:val="22"/>
          <w:szCs w:val="22"/>
        </w:rPr>
        <w:t xml:space="preserve">Elevation Capital (Lightspeed India Partner)</w:t>
      </w:r>
      <w:r>
        <w:rPr>
          <w:rFonts w:ascii="Calibri" w:cs="Calibri" w:eastAsia="Calibri" w:hAnsi="Calibri"/>
          <w:b/>
          <w:bCs/>
          <w:color w:val="1A7A4A"/>
          <w:sz w:val="20"/>
          <w:szCs w:val="20"/>
        </w:rPr>
        <w:t xml:space="preserve">  [STRONG INTEREST]</w:t>
      </w:r>
    </w:p>
    <w:p>
      <w:pPr>
        <w:spacing w:after="60"/>
        <w:ind w:left="200"/>
      </w:pPr>
      <w:r>
        <w:rPr>
          <w:rFonts w:ascii="Calibri" w:cs="Calibri" w:eastAsia="Calibri" w:hAnsi="Calibri"/>
          <w:i/>
          <w:iCs/>
          <w:color w:val="444444"/>
          <w:sz w:val="19"/>
          <w:szCs w:val="19"/>
        </w:rPr>
        <w:t xml:space="preserve">"NovaMed has the rare combination of deep clinical expertise and world-class engineering. The 94.3% accuracy rate and 14.8x LTV:CAC are exceptional. The government MOU with NHM is a significant moat. We are conducting deep due diligence for potential lead investor role."</w:t>
      </w:r>
    </w:p>
    <w:p>
      <w:pPr>
        <w:pBdr>
          <w:left w:val="single" w:color="0D6E8A" w:sz="12"/>
        </w:pBdr>
        <w:shd w:fill="F8F9FA" w:color="F8F9FA" w:val="solid"/>
        <w:spacing w:before="200" w:after="60"/>
        <w:ind w:left="200"/>
      </w:pPr>
      <w:r>
        <w:rPr>
          <w:rFonts w:ascii="Calibri" w:cs="Calibri" w:eastAsia="Calibri" w:hAnsi="Calibri"/>
          <w:b/>
          <w:bCs/>
          <w:color w:val="0D1B3E"/>
          <w:sz w:val="22"/>
          <w:szCs w:val="22"/>
        </w:rPr>
        <w:t xml:space="preserve">Blume Ventures</w:t>
      </w:r>
      <w:r>
        <w:rPr>
          <w:rFonts w:ascii="Calibri" w:cs="Calibri" w:eastAsia="Calibri" w:hAnsi="Calibri"/>
          <w:b/>
          <w:bCs/>
          <w:color w:val="E67E22"/>
          <w:sz w:val="20"/>
          <w:szCs w:val="20"/>
        </w:rPr>
        <w:t xml:space="preserve">  [CONSIDERING]</w:t>
      </w:r>
    </w:p>
    <w:p>
      <w:pPr>
        <w:spacing w:after="60"/>
        <w:ind w:left="200"/>
      </w:pPr>
      <w:r>
        <w:rPr>
          <w:rFonts w:ascii="Calibri" w:cs="Calibri" w:eastAsia="Calibri" w:hAnsi="Calibri"/>
          <w:i/>
          <w:iCs/>
          <w:color w:val="444444"/>
          <w:sz w:val="19"/>
          <w:szCs w:val="19"/>
        </w:rPr>
        <w:t xml:space="preserve">"The rural healthcare problem is real and massive. NovaMed's traction with 340 clinics is impressive for a 3-year-old company. Key question for us is the CDSCO timeline — once approved, this becomes significantly de-risked. Would consider co-investing post-approval."</w:t>
      </w:r>
    </w:p>
    <w:p>
      <w:pPr>
        <w:pBdr>
          <w:left w:val="single" w:color="0D6E8A" w:sz="12"/>
        </w:pBdr>
        <w:shd w:fill="F8F9FA" w:color="F8F9FA" w:val="solid"/>
        <w:spacing w:before="200" w:after="60"/>
        <w:ind w:left="200"/>
      </w:pPr>
      <w:r>
        <w:rPr>
          <w:rFonts w:ascii="Calibri" w:cs="Calibri" w:eastAsia="Calibri" w:hAnsi="Calibri"/>
          <w:b/>
          <w:bCs/>
          <w:color w:val="0D1B3E"/>
          <w:sz w:val="22"/>
          <w:szCs w:val="22"/>
        </w:rPr>
        <w:t xml:space="preserve">Fireside Ventures</w:t>
      </w:r>
      <w:r>
        <w:rPr>
          <w:rFonts w:ascii="Calibri" w:cs="Calibri" w:eastAsia="Calibri" w:hAnsi="Calibri"/>
          <w:b/>
          <w:bCs/>
          <w:color w:val="0D6E8A"/>
          <w:sz w:val="20"/>
          <w:szCs w:val="20"/>
        </w:rPr>
        <w:t xml:space="preserve">  [INTERESTED]</w:t>
      </w:r>
    </w:p>
    <w:p>
      <w:pPr>
        <w:spacing w:after="60"/>
        <w:ind w:left="200"/>
      </w:pPr>
      <w:r>
        <w:rPr>
          <w:rFonts w:ascii="Calibri" w:cs="Calibri" w:eastAsia="Calibri" w:hAnsi="Calibri"/>
          <w:i/>
          <w:iCs/>
          <w:color w:val="444444"/>
          <w:sz w:val="19"/>
          <w:szCs w:val="19"/>
        </w:rPr>
        <w:t xml:space="preserve">"Love the founder team — AIIMS + IIT + IIM combination is exactly right for this problem. The B2G (business to government) angle via NHM is something most startups miss. 82,000 scans with zero safety incidents is the best validation possible. Seeking more details on hardware margin improvement roadmap."</w:t>
      </w:r>
    </w:p>
    <w:p>
      <w:pPr>
        <w:pStyle w:val="Heading1"/>
        <w:shd w:fill="0D1B3E" w:color="0D1B3E" w:val="solid"/>
        <w:spacing w:before="280" w:after="120"/>
        <w:rPr>
          <w:rFonts w:ascii="Calibri" w:cs="Calibri" w:eastAsia="Calibri" w:hAnsi="Calibri"/>
          <w:b/>
          <w:bCs/>
          <w:color w:val="FFFFFF"/>
          <w:sz w:val="28"/>
          <w:szCs w:val="28"/>
        </w:rPr>
      </w:pPr>
      <w:r>
        <w:t xml:space="preserve">9. CONTACT &amp; NEXT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F0F4F8" w:color="F0F4F8" w:val="solid"/>
          </w:tcPr>
          <w:p>
            <w:r>
              <w:rPr>
                <w:rFonts w:ascii="Calibri" w:cs="Calibri" w:eastAsia="Calibri" w:hAnsi="Calibri"/>
                <w:b/>
                <w:bCs/>
                <w:color w:val="0D1B3E"/>
                <w:sz w:val="19"/>
                <w:szCs w:val="19"/>
              </w:rPr>
              <w:t xml:space="preserve">Primary Contact</w:t>
            </w:r>
          </w:p>
        </w:tc>
        <w:tc>
          <w:tcPr>
            <w:tcW w:type="pct" w:w="65%"/>
            <w:shd w:fill="FFFFFF" w:color="FFFFFF" w:val="solid"/>
          </w:tcPr>
          <w:p>
            <w:r>
              <w:rPr>
                <w:rFonts w:ascii="Calibri" w:cs="Calibri" w:eastAsia="Calibri" w:hAnsi="Calibri"/>
                <w:sz w:val="19"/>
                <w:szCs w:val="19"/>
              </w:rPr>
              <w:t xml:space="preserve">Dr. Priya Venkatesh, CEO — priya@novamed.ai | +91 98765 43210</w:t>
            </w:r>
          </w:p>
        </w:tc>
      </w:tr>
      <w:tr>
        <w:tc>
          <w:tcPr>
            <w:tcW w:type="pct" w:w="35%"/>
            <w:shd w:fill="FFFFFF" w:color="FFFFFF" w:val="solid"/>
          </w:tcPr>
          <w:p>
            <w:r>
              <w:rPr>
                <w:rFonts w:ascii="Calibri" w:cs="Calibri" w:eastAsia="Calibri" w:hAnsi="Calibri"/>
                <w:b/>
                <w:bCs/>
                <w:color w:val="0D1B3E"/>
                <w:sz w:val="19"/>
                <w:szCs w:val="19"/>
              </w:rPr>
              <w:t xml:space="preserve">Investor Relations</w:t>
            </w:r>
          </w:p>
        </w:tc>
        <w:tc>
          <w:tcPr>
            <w:tcW w:type="pct" w:w="65%"/>
            <w:shd w:fill="FFFFFF" w:color="FFFFFF" w:val="solid"/>
          </w:tcPr>
          <w:p>
            <w:r>
              <w:rPr>
                <w:rFonts w:ascii="Calibri" w:cs="Calibri" w:eastAsia="Calibri" w:hAnsi="Calibri"/>
                <w:sz w:val="19"/>
                <w:szCs w:val="19"/>
              </w:rPr>
              <w:t xml:space="preserve">ir@novamed.ai | Response within 24 hours</w:t>
            </w:r>
          </w:p>
        </w:tc>
      </w:tr>
      <w:tr>
        <w:tc>
          <w:tcPr>
            <w:tcW w:type="pct" w:w="35%"/>
            <w:shd w:fill="F0F4F8" w:color="F0F4F8" w:val="solid"/>
          </w:tcPr>
          <w:p>
            <w:r>
              <w:rPr>
                <w:rFonts w:ascii="Calibri" w:cs="Calibri" w:eastAsia="Calibri" w:hAnsi="Calibri"/>
                <w:b/>
                <w:bCs/>
                <w:color w:val="0D1B3E"/>
                <w:sz w:val="19"/>
                <w:szCs w:val="19"/>
              </w:rPr>
              <w:t xml:space="preserve">Data Room Access</w:t>
            </w:r>
          </w:p>
        </w:tc>
        <w:tc>
          <w:tcPr>
            <w:tcW w:type="pct" w:w="65%"/>
            <w:shd w:fill="FFFFFF" w:color="FFFFFF" w:val="solid"/>
          </w:tcPr>
          <w:p>
            <w:r>
              <w:rPr>
                <w:rFonts w:ascii="Calibri" w:cs="Calibri" w:eastAsia="Calibri" w:hAnsi="Calibri"/>
                <w:sz w:val="19"/>
                <w:szCs w:val="19"/>
              </w:rPr>
              <w:t xml:space="preserve">Available upon NDA signing — email ir@novamed.ai</w:t>
            </w:r>
          </w:p>
        </w:tc>
      </w:tr>
      <w:tr>
        <w:tc>
          <w:tcPr>
            <w:tcW w:type="pct" w:w="35%"/>
            <w:shd w:fill="FFFFFF" w:color="FFFFFF" w:val="solid"/>
          </w:tcPr>
          <w:p>
            <w:r>
              <w:rPr>
                <w:rFonts w:ascii="Calibri" w:cs="Calibri" w:eastAsia="Calibri" w:hAnsi="Calibri"/>
                <w:b/>
                <w:bCs/>
                <w:color w:val="0D1B3E"/>
                <w:sz w:val="19"/>
                <w:szCs w:val="19"/>
              </w:rPr>
              <w:t xml:space="preserve">Management Presentation</w:t>
            </w:r>
          </w:p>
        </w:tc>
        <w:tc>
          <w:tcPr>
            <w:tcW w:type="pct" w:w="65%"/>
            <w:shd w:fill="FFFFFF" w:color="FFFFFF" w:val="solid"/>
          </w:tcPr>
          <w:p>
            <w:r>
              <w:rPr>
                <w:rFonts w:ascii="Calibri" w:cs="Calibri" w:eastAsia="Calibri" w:hAnsi="Calibri"/>
                <w:sz w:val="19"/>
                <w:szCs w:val="19"/>
              </w:rPr>
              <w:t xml:space="preserve">Available in Mumbai, Bengaluru, or video call</w:t>
            </w:r>
          </w:p>
        </w:tc>
      </w:tr>
      <w:tr>
        <w:tc>
          <w:tcPr>
            <w:tcW w:type="pct" w:w="35%"/>
            <w:shd w:fill="F0F4F8" w:color="F0F4F8" w:val="solid"/>
          </w:tcPr>
          <w:p>
            <w:r>
              <w:rPr>
                <w:rFonts w:ascii="Calibri" w:cs="Calibri" w:eastAsia="Calibri" w:hAnsi="Calibri"/>
                <w:b/>
                <w:bCs/>
                <w:color w:val="0D1B3E"/>
                <w:sz w:val="19"/>
                <w:szCs w:val="19"/>
              </w:rPr>
              <w:t xml:space="preserve">Term Sheet Deadline</w:t>
            </w:r>
          </w:p>
        </w:tc>
        <w:tc>
          <w:tcPr>
            <w:tcW w:type="pct" w:w="65%"/>
            <w:shd w:fill="FFFFFF" w:color="FFFFFF" w:val="solid"/>
          </w:tcPr>
          <w:p>
            <w:r>
              <w:rPr>
                <w:rFonts w:ascii="Calibri" w:cs="Calibri" w:eastAsia="Calibri" w:hAnsi="Calibri"/>
                <w:sz w:val="19"/>
                <w:szCs w:val="19"/>
              </w:rPr>
              <w:t xml:space="preserve">March 31, 2026 (preferred close by April 30, 2026)</w:t>
            </w:r>
          </w:p>
        </w:tc>
      </w:tr>
      <w:tr>
        <w:tc>
          <w:tcPr>
            <w:tcW w:type="pct" w:w="35%"/>
            <w:shd w:fill="FFFFFF" w:color="FFFFFF" w:val="solid"/>
          </w:tcPr>
          <w:p>
            <w:r>
              <w:rPr>
                <w:rFonts w:ascii="Calibri" w:cs="Calibri" w:eastAsia="Calibri" w:hAnsi="Calibri"/>
                <w:b/>
                <w:bCs/>
                <w:color w:val="0D1B3E"/>
                <w:sz w:val="19"/>
                <w:szCs w:val="19"/>
              </w:rPr>
              <w:t xml:space="preserve">Reference Contacts</w:t>
            </w:r>
          </w:p>
        </w:tc>
        <w:tc>
          <w:tcPr>
            <w:tcW w:type="pct" w:w="65%"/>
            <w:shd w:fill="FFFFFF" w:color="FFFFFF" w:val="solid"/>
          </w:tcPr>
          <w:p>
            <w:r>
              <w:rPr>
                <w:rFonts w:ascii="Calibri" w:cs="Calibri" w:eastAsia="Calibri" w:hAnsi="Calibri"/>
                <w:sz w:val="19"/>
                <w:szCs w:val="19"/>
              </w:rPr>
              <w:t xml:space="preserve">Dr. K. Srinivasan (AIIMS) | NHM Maharashtra Director (available on request)</w:t>
            </w:r>
          </w:p>
        </w:tc>
      </w:tr>
    </w:tbl>
    <w:p>
      <w:pPr>
        <w:spacing w:before="600"/>
        <w:jc w:val="center"/>
      </w:pPr>
      <w:r>
        <w:rPr>
          <w:rFonts w:ascii="Calibri" w:cs="Calibri" w:eastAsia="Calibri" w:hAnsi="Calibri"/>
          <w:i/>
          <w:iCs/>
          <w:color w:val="888888"/>
          <w:sz w:val="16"/>
          <w:szCs w:val="16"/>
        </w:rPr>
        <w:t xml:space="preserve">This document is confidential and intended solely for prospective investors. All financial projections are forward-looking and subject to change. Past performance of traction metrics does not guarantee future results.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6"/>
      </w:pBdr>
    </w:pPr>
    <w:r>
      <w:rPr>
        <w:rFonts w:ascii="Calibri" w:cs="Calibri" w:eastAsia="Calibri" w:hAnsi="Calibri"/>
        <w:color w:val="888888"/>
        <w:sz w:val="18"/>
        <w:szCs w:val="18"/>
      </w:rPr>
      <w:t xml:space="preserve">NovaMed AI — Investor Background &amp; Comments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2026-03-02T06:34:23.757Z</dcterms:created>
  <dcterms:modified xsi:type="dcterms:W3CDTF">2026-03-02T06:34:23.758Z</dcterms:modified>
</cp:coreProperties>
</file>

<file path=docProps/custom.xml><?xml version="1.0" encoding="utf-8"?>
<Properties xmlns="http://schemas.openxmlformats.org/officeDocument/2006/custom-properties" xmlns:vt="http://schemas.openxmlformats.org/officeDocument/2006/docPropsVTypes"/>
</file>