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80"/>
        <w:jc w:val="center"/>
      </w:pPr>
      <w:r>
        <w:rPr>
          <w:rFonts w:ascii="Calibri" w:cs="Calibri" w:eastAsia="Calibri" w:hAnsi="Calibri"/>
          <w:b/>
          <w:bCs/>
          <w:color w:val="0A2540"/>
          <w:sz w:val="52"/>
          <w:szCs w:val="52"/>
        </w:rPr>
        <w:t xml:space="preserve">PAYZEN FINTECH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1652F0"/>
          <w:sz w:val="26"/>
          <w:szCs w:val="26"/>
        </w:rPr>
        <w:t xml:space="preserve">Investor Background Document &amp; Due Diligence Profile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Series A — $2,500,000 | March 2026 | CONFIDENTIAL</w:t>
      </w:r>
    </w:p>
    <w:p>
      <w:pPr>
        <w:shd w:fill="0A2540" w:color="0A2540" w:val="solid"/>
        <w:spacing w:before="280" w:after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COMPANY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F0F8FF" w:color="F0F8FF" w:val="solid"/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19"/>
                <w:szCs w:val="19"/>
              </w:rPr>
              <w:t xml:space="preserve">Company Name</w:t>
            </w:r>
          </w:p>
        </w:tc>
        <w:tc>
          <w:tcPr>
            <w:tcW w:type="pct" w:w="65%"/>
            <w:shd w:fill="FFFFFF" w:color="FFFFFF" w:val="solid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PayZen FinTech Private Limited</w:t>
            </w:r>
          </w:p>
        </w:tc>
      </w:tr>
      <w:tr>
        <w:tc>
          <w:tcPr>
            <w:tcW w:type="pct" w:w="35%"/>
            <w:shd w:fill="FFFFFF" w:color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19"/>
                <w:szCs w:val="19"/>
              </w:rPr>
              <w:t xml:space="preserve">CIN</w:t>
            </w:r>
          </w:p>
        </w:tc>
        <w:tc>
          <w:tcPr>
            <w:tcW w:type="pct" w:w="65%"/>
            <w:shd w:fill="FFFFFF" w:color="FFFFFF" w:val="solid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U65999KA2022PTC148923</w:t>
            </w:r>
          </w:p>
        </w:tc>
      </w:tr>
      <w:tr>
        <w:tc>
          <w:tcPr>
            <w:tcW w:type="pct" w:w="35%"/>
            <w:shd w:fill="F0F8FF" w:color="F0F8FF" w:val="solid"/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19"/>
                <w:szCs w:val="19"/>
              </w:rPr>
              <w:t xml:space="preserve">Incorporation Date</w:t>
            </w:r>
          </w:p>
        </w:tc>
        <w:tc>
          <w:tcPr>
            <w:tcW w:type="pct" w:w="65%"/>
            <w:shd w:fill="FFFFFF" w:color="FFFFFF" w:val="solid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January 10, 2022 — Bengaluru, Karnataka</w:t>
            </w:r>
          </w:p>
        </w:tc>
      </w:tr>
      <w:tr>
        <w:tc>
          <w:tcPr>
            <w:tcW w:type="pct" w:w="35%"/>
            <w:shd w:fill="FFFFFF" w:color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19"/>
                <w:szCs w:val="19"/>
              </w:rPr>
              <w:t xml:space="preserve">Registered Office</w:t>
            </w:r>
          </w:p>
        </w:tc>
        <w:tc>
          <w:tcPr>
            <w:tcW w:type="pct" w:w="65%"/>
            <w:shd w:fill="FFFFFF" w:color="FFFFFF" w:val="solid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3rd Floor, Prestige Atlanta, MG Road, Bengaluru — 560001</w:t>
            </w:r>
          </w:p>
        </w:tc>
      </w:tr>
      <w:tr>
        <w:tc>
          <w:tcPr>
            <w:tcW w:type="pct" w:w="35%"/>
            <w:shd w:fill="F0F8FF" w:color="F0F8FF" w:val="solid"/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19"/>
                <w:szCs w:val="19"/>
              </w:rPr>
              <w:t xml:space="preserve">Sector</w:t>
            </w:r>
          </w:p>
        </w:tc>
        <w:tc>
          <w:tcPr>
            <w:tcW w:type="pct" w:w="65%"/>
            <w:shd w:fill="FFFFFF" w:color="FFFFFF" w:val="solid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FinTech / Digital Lending / BNPL</w:t>
            </w:r>
          </w:p>
        </w:tc>
      </w:tr>
      <w:tr>
        <w:tc>
          <w:tcPr>
            <w:tcW w:type="pct" w:w="35%"/>
            <w:shd w:fill="FFFFFF" w:color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19"/>
                <w:szCs w:val="19"/>
              </w:rPr>
              <w:t xml:space="preserve">Stage</w:t>
            </w:r>
          </w:p>
        </w:tc>
        <w:tc>
          <w:tcPr>
            <w:tcW w:type="pct" w:w="65%"/>
            <w:shd w:fill="FFFFFF" w:color="FFFFFF" w:val="solid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Series A — Product-Market Fit Achieved</w:t>
            </w:r>
          </w:p>
        </w:tc>
      </w:tr>
      <w:tr>
        <w:tc>
          <w:tcPr>
            <w:tcW w:type="pct" w:w="35%"/>
            <w:shd w:fill="F0F8FF" w:color="F0F8FF" w:val="solid"/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19"/>
                <w:szCs w:val="19"/>
              </w:rPr>
              <w:t xml:space="preserve">DPIIT Recognition</w:t>
            </w:r>
          </w:p>
        </w:tc>
        <w:tc>
          <w:tcPr>
            <w:tcW w:type="pct" w:w="65%"/>
            <w:shd w:fill="FFFFFF" w:color="FFFFFF" w:val="solid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DIPP198234 — Recognized March 2022</w:t>
            </w:r>
          </w:p>
        </w:tc>
      </w:tr>
      <w:tr>
        <w:tc>
          <w:tcPr>
            <w:tcW w:type="pct" w:w="35%"/>
            <w:shd w:fill="FFFFFF" w:color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19"/>
                <w:szCs w:val="19"/>
              </w:rPr>
              <w:t xml:space="preserve">RBI Registration</w:t>
            </w:r>
          </w:p>
        </w:tc>
        <w:tc>
          <w:tcPr>
            <w:tcW w:type="pct" w:w="65%"/>
            <w:shd w:fill="FFFFFF" w:color="FFFFFF" w:val="solid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NBFC partner: Vivriti Capital; own license in process</w:t>
            </w:r>
          </w:p>
        </w:tc>
      </w:tr>
      <w:tr>
        <w:tc>
          <w:tcPr>
            <w:tcW w:type="pct" w:w="35%"/>
            <w:shd w:fill="F0F8FF" w:color="F0F8FF" w:val="solid"/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19"/>
                <w:szCs w:val="19"/>
              </w:rPr>
              <w:t xml:space="preserve">Patents Filed</w:t>
            </w:r>
          </w:p>
        </w:tc>
        <w:tc>
          <w:tcPr>
            <w:tcW w:type="pct" w:w="65%"/>
            <w:shd w:fill="FFFFFF" w:color="FFFFFF" w:val="solid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 patents — AI credit scoring algorithm (1 granted, 1 pending)</w:t>
            </w:r>
          </w:p>
        </w:tc>
      </w:tr>
      <w:tr>
        <w:tc>
          <w:tcPr>
            <w:tcW w:type="pct" w:w="35%"/>
            <w:shd w:fill="FFFFFF" w:color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19"/>
                <w:szCs w:val="19"/>
              </w:rPr>
              <w:t xml:space="preserve">Current AUM</w:t>
            </w:r>
          </w:p>
        </w:tc>
        <w:tc>
          <w:tcPr>
            <w:tcW w:type="pct" w:w="65%"/>
            <w:shd w:fill="FFFFFF" w:color="FFFFFF" w:val="solid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₹47 Crore disbursed; ₹18 Crore active book</w:t>
            </w:r>
          </w:p>
        </w:tc>
      </w:tr>
    </w:tbl>
    <w:p>
      <w:pPr>
        <w:shd w:fill="0A2540" w:color="0A2540" w:val="solid"/>
        <w:spacing w:before="280" w:after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BUSINESS BACKGROUND &amp; PROBLEM STATEMENT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PayZen was founded in January 2022 to solve the ₹18 lakh crore informal credit gap faced by India's 450 million+ gig workers and kirana merchants. Traditional banks deny 78% of small merchant loan applications due to lack of formal credit history, forcing them into predatory informal lending at 60%+ annual interest.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PayZen's core insight: UPI transaction history + GST filings + WhatsApp business activity contain rich credit signals that traditional banks ignore. Our AI processes these alternative data sources to generate credit scores in 90 seconds.</w:t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color w:val="1652F0"/>
          <w:sz w:val="20"/>
          <w:szCs w:val="20"/>
        </w:rPr>
        <w:t xml:space="preserve">Two core products:</w:t>
      </w:r>
    </w:p>
    <w:p>
      <w:pPr>
        <w:spacing w:before="40" w:after="40"/>
        <w:ind w:left="40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• PayZen Merchant Credit: Instant ₹5,000–₹2,00,000 UPI-linked credit line at 18-24% APR. 90-second approval, zero paperwork, zero bank visit.</w:t>
      </w:r>
    </w:p>
    <w:p>
      <w:pPr>
        <w:spacing w:before="40" w:after="40"/>
        <w:ind w:left="40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• PayZen Gig Pay: Same-day earned wage access for gig workers on Swiggy, Zomato, Uber, Ola. 0.5% fee vs 3-5% charged by money lenders.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Key validation: 96.2% on-time repayment rate (industry average: 89%), ₹47 Crore disbursed with zero investor capital through NBFC co-lending arrangement with ICICI Bank.</w:t>
      </w:r>
    </w:p>
    <w:p>
      <w:pPr>
        <w:shd w:fill="0A2540" w:color="0A2540" w:val="solid"/>
        <w:spacing w:before="280" w:after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FOUNDING TEAM &amp; EXPERIENCE</w:t>
      </w:r>
    </w:p>
    <w:p>
      <w:pPr>
        <w:spacing w:before="180" w:after="80"/>
      </w:pPr>
      <w:r>
        <w:rPr>
          <w:rFonts w:ascii="Calibri" w:cs="Calibri" w:eastAsia="Calibri" w:hAnsi="Calibri"/>
          <w:b/>
          <w:bCs/>
          <w:color w:val="1652F0"/>
          <w:sz w:val="24"/>
          <w:szCs w:val="24"/>
        </w:rPr>
        <w:t xml:space="preserve">Rohan Iyer — CEO &amp; Co-Founder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F0F8FF" w:color="F0F8FF" w:val="solid"/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19"/>
                <w:szCs w:val="19"/>
              </w:rPr>
              <w:t xml:space="preserve">Education</w:t>
            </w:r>
          </w:p>
        </w:tc>
        <w:tc>
          <w:tcPr>
            <w:tcW w:type="pct" w:w="65%"/>
            <w:shd w:fill="FFFFFF" w:color="FFFFFF" w:val="solid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B.Tech — IIT Chennai (Computer Science) | MBA — ISB Hyderabad (Dean's List)</w:t>
            </w:r>
          </w:p>
        </w:tc>
      </w:tr>
      <w:tr>
        <w:tc>
          <w:tcPr>
            <w:tcW w:type="pct" w:w="35%"/>
            <w:shd w:fill="FFFFFF" w:color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19"/>
                <w:szCs w:val="19"/>
              </w:rPr>
              <w:t xml:space="preserve">Experience</w:t>
            </w:r>
          </w:p>
        </w:tc>
        <w:tc>
          <w:tcPr>
            <w:tcW w:type="pct" w:w="65%"/>
            <w:shd w:fill="FFFFFF" w:color="FFFFFF" w:val="solid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10 years in fintech product and payments infrastructure</w:t>
            </w:r>
          </w:p>
        </w:tc>
      </w:tr>
      <w:tr>
        <w:tc>
          <w:tcPr>
            <w:tcW w:type="pct" w:w="35%"/>
            <w:shd w:fill="F0F8FF" w:color="F0F8FF" w:val="solid"/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19"/>
                <w:szCs w:val="19"/>
              </w:rPr>
              <w:t xml:space="preserve">Previous Role</w:t>
            </w:r>
          </w:p>
        </w:tc>
        <w:tc>
          <w:tcPr>
            <w:tcW w:type="pct" w:w="65%"/>
            <w:shd w:fill="FFFFFF" w:color="FFFFFF" w:val="solid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Product Head, Razorpay — Built UPI infrastructure for 800,000 merchants; scaled revenue 0 to ₹400Cr ARR</w:t>
            </w:r>
          </w:p>
        </w:tc>
      </w:tr>
      <w:tr>
        <w:tc>
          <w:tcPr>
            <w:tcW w:type="pct" w:w="35%"/>
            <w:shd w:fill="FFFFFF" w:color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19"/>
                <w:szCs w:val="19"/>
              </w:rPr>
              <w:t xml:space="preserve">Achievement</w:t>
            </w:r>
          </w:p>
        </w:tc>
        <w:tc>
          <w:tcPr>
            <w:tcW w:type="pct" w:w="65%"/>
            <w:shd w:fill="FFFFFF" w:color="FFFFFF" w:val="solid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Led Razorpay's BNPL product from concept to ₹50Cr monthly disbursals in 14 months</w:t>
            </w:r>
          </w:p>
        </w:tc>
      </w:tr>
      <w:tr>
        <w:tc>
          <w:tcPr>
            <w:tcW w:type="pct" w:w="35%"/>
            <w:shd w:fill="F0F8FF" w:color="F0F8FF" w:val="solid"/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19"/>
                <w:szCs w:val="19"/>
              </w:rPr>
              <w:t xml:space="preserve">Awards</w:t>
            </w:r>
          </w:p>
        </w:tc>
        <w:tc>
          <w:tcPr>
            <w:tcW w:type="pct" w:w="65%"/>
            <w:shd w:fill="FFFFFF" w:color="FFFFFF" w:val="solid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ET 40 Under 40 (FinTech) 2024 | YourStory TechSpark Award 2023</w:t>
            </w:r>
          </w:p>
        </w:tc>
      </w:tr>
      <w:tr>
        <w:tc>
          <w:tcPr>
            <w:tcW w:type="pct" w:w="35%"/>
            <w:shd w:fill="FFFFFF" w:color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19"/>
                <w:szCs w:val="19"/>
              </w:rPr>
              <w:t xml:space="preserve">Network</w:t>
            </w:r>
          </w:p>
        </w:tc>
        <w:tc>
          <w:tcPr>
            <w:tcW w:type="pct" w:w="65%"/>
            <w:shd w:fill="FFFFFF" w:color="FFFFFF" w:val="solid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Deep relationships with RBI FinTech team, NPCI, PhonePe, Google Pay</w:t>
            </w:r>
          </w:p>
        </w:tc>
      </w:tr>
    </w:tbl>
    <w:p>
      <w:pPr>
        <w:spacing w:before="180" w:after="80"/>
      </w:pPr>
      <w:r>
        <w:rPr>
          <w:rFonts w:ascii="Calibri" w:cs="Calibri" w:eastAsia="Calibri" w:hAnsi="Calibri"/>
          <w:b/>
          <w:bCs/>
          <w:color w:val="1652F0"/>
          <w:sz w:val="24"/>
          <w:szCs w:val="24"/>
        </w:rPr>
        <w:t xml:space="preserve">Deepika Nair — CTO &amp; Co-Founder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F0F8FF" w:color="F0F8FF" w:val="solid"/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19"/>
                <w:szCs w:val="19"/>
              </w:rPr>
              <w:t xml:space="preserve">Education</w:t>
            </w:r>
          </w:p>
        </w:tc>
        <w:tc>
          <w:tcPr>
            <w:tcW w:type="pct" w:w="65%"/>
            <w:shd w:fill="FFFFFF" w:color="FFFFFF" w:val="solid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B.Tech — IIT Delhi | M.S. — Carnegie Mellon University (Machine Learning)</w:t>
            </w:r>
          </w:p>
        </w:tc>
      </w:tr>
      <w:tr>
        <w:tc>
          <w:tcPr>
            <w:tcW w:type="pct" w:w="35%"/>
            <w:shd w:fill="FFFFFF" w:color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19"/>
                <w:szCs w:val="19"/>
              </w:rPr>
              <w:t xml:space="preserve">Experience</w:t>
            </w:r>
          </w:p>
        </w:tc>
        <w:tc>
          <w:tcPr>
            <w:tcW w:type="pct" w:w="65%"/>
            <w:shd w:fill="FFFFFF" w:color="FFFFFF" w:val="solid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8 years in credit risk ML and financial data engineering</w:t>
            </w:r>
          </w:p>
        </w:tc>
      </w:tr>
      <w:tr>
        <w:tc>
          <w:tcPr>
            <w:tcW w:type="pct" w:w="35%"/>
            <w:shd w:fill="F0F8FF" w:color="F0F8FF" w:val="solid"/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19"/>
                <w:szCs w:val="19"/>
              </w:rPr>
              <w:t xml:space="preserve">Previous Role</w:t>
            </w:r>
          </w:p>
        </w:tc>
        <w:tc>
          <w:tcPr>
            <w:tcW w:type="pct" w:w="65%"/>
            <w:shd w:fill="FFFFFF" w:color="FFFFFF" w:val="solid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 Science Lead, BankBazaar (4 years) | Senior ML Engineer, PayPal (3 years)</w:t>
            </w:r>
          </w:p>
        </w:tc>
      </w:tr>
      <w:tr>
        <w:tc>
          <w:tcPr>
            <w:tcW w:type="pct" w:w="35%"/>
            <w:shd w:fill="FFFFFF" w:color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19"/>
                <w:szCs w:val="19"/>
              </w:rPr>
              <w:t xml:space="preserve">Technical</w:t>
            </w:r>
          </w:p>
        </w:tc>
        <w:tc>
          <w:tcPr>
            <w:tcW w:type="pct" w:w="65%"/>
            <w:shd w:fill="FFFFFF" w:color="FFFFFF" w:val="solid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Built credit models serving 5M+ users; 96.2% repayment rate with PayZen AI engine</w:t>
            </w:r>
          </w:p>
        </w:tc>
      </w:tr>
      <w:tr>
        <w:tc>
          <w:tcPr>
            <w:tcW w:type="pct" w:w="35%"/>
            <w:shd w:fill="F0F8FF" w:color="F0F8FF" w:val="solid"/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19"/>
                <w:szCs w:val="19"/>
              </w:rPr>
              <w:t xml:space="preserve">Patents</w:t>
            </w:r>
          </w:p>
        </w:tc>
        <w:tc>
          <w:tcPr>
            <w:tcW w:type="pct" w:w="65%"/>
            <w:shd w:fill="FFFFFF" w:color="FFFFFF" w:val="solid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 patents in alternative data credit scoring (GST + UPI + WhatsApp signals)</w:t>
            </w:r>
          </w:p>
        </w:tc>
      </w:tr>
      <w:tr>
        <w:tc>
          <w:tcPr>
            <w:tcW w:type="pct" w:w="35%"/>
            <w:shd w:fill="FFFFFF" w:color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19"/>
                <w:szCs w:val="19"/>
              </w:rPr>
              <w:t xml:space="preserve">Recognition</w:t>
            </w:r>
          </w:p>
        </w:tc>
        <w:tc>
          <w:tcPr>
            <w:tcW w:type="pct" w:w="65%"/>
            <w:shd w:fill="FFFFFF" w:color="FFFFFF" w:val="solid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MIT Technology Review Innovator Under 35 — India 2024</w:t>
            </w:r>
          </w:p>
        </w:tc>
      </w:tr>
    </w:tbl>
    <w:p>
      <w:pPr>
        <w:spacing w:before="180" w:after="80"/>
      </w:pPr>
      <w:r>
        <w:rPr>
          <w:rFonts w:ascii="Calibri" w:cs="Calibri" w:eastAsia="Calibri" w:hAnsi="Calibri"/>
          <w:b/>
          <w:bCs/>
          <w:color w:val="1652F0"/>
          <w:sz w:val="24"/>
          <w:szCs w:val="24"/>
        </w:rPr>
        <w:t xml:space="preserve">Karthik Subramaniam — CFO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F0F8FF" w:color="F0F8FF" w:val="solid"/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19"/>
                <w:szCs w:val="19"/>
              </w:rPr>
              <w:t xml:space="preserve">Education</w:t>
            </w:r>
          </w:p>
        </w:tc>
        <w:tc>
          <w:tcPr>
            <w:tcW w:type="pct" w:w="65%"/>
            <w:shd w:fill="FFFFFF" w:color="FFFFFF" w:val="solid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 — ICAI All India Rank 8 | CFA (CFA Institute, USA)</w:t>
            </w:r>
          </w:p>
        </w:tc>
      </w:tr>
      <w:tr>
        <w:tc>
          <w:tcPr>
            <w:tcW w:type="pct" w:w="35%"/>
            <w:shd w:fill="FFFFFF" w:color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19"/>
                <w:szCs w:val="19"/>
              </w:rPr>
              <w:t xml:space="preserve">Experience</w:t>
            </w:r>
          </w:p>
        </w:tc>
        <w:tc>
          <w:tcPr>
            <w:tcW w:type="pct" w:w="65%"/>
            <w:shd w:fill="FFFFFF" w:color="FFFFFF" w:val="solid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15 years in banking credit risk and structured finance</w:t>
            </w:r>
          </w:p>
        </w:tc>
      </w:tr>
      <w:tr>
        <w:tc>
          <w:tcPr>
            <w:tcW w:type="pct" w:w="35%"/>
            <w:shd w:fill="F0F8FF" w:color="F0F8FF" w:val="solid"/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19"/>
                <w:szCs w:val="19"/>
              </w:rPr>
              <w:t xml:space="preserve">Previous Role</w:t>
            </w:r>
          </w:p>
        </w:tc>
        <w:tc>
          <w:tcPr>
            <w:tcW w:type="pct" w:w="65%"/>
            <w:shd w:fill="FFFFFF" w:color="FFFFFF" w:val="solid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VP Credit Risk, HDFC Bank — Structured ₹2,400 Crore MSME loan book</w:t>
            </w:r>
          </w:p>
        </w:tc>
      </w:tr>
      <w:tr>
        <w:tc>
          <w:tcPr>
            <w:tcW w:type="pct" w:w="35%"/>
            <w:shd w:fill="FFFFFF" w:color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19"/>
                <w:szCs w:val="19"/>
              </w:rPr>
              <w:t xml:space="preserve">Regulatory</w:t>
            </w:r>
          </w:p>
        </w:tc>
        <w:tc>
          <w:tcPr>
            <w:tcW w:type="pct" w:w="65%"/>
            <w:shd w:fill="FFFFFF" w:color="FFFFFF" w:val="solid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Deep RBI NBFC licensing expertise; managed 3 RBI audits at HDFC Bank</w:t>
            </w:r>
          </w:p>
        </w:tc>
      </w:tr>
      <w:tr>
        <w:tc>
          <w:tcPr>
            <w:tcW w:type="pct" w:w="35%"/>
            <w:shd w:fill="F0F8FF" w:color="F0F8FF" w:val="solid"/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19"/>
                <w:szCs w:val="19"/>
              </w:rPr>
              <w:t xml:space="preserve">Achievement</w:t>
            </w:r>
          </w:p>
        </w:tc>
        <w:tc>
          <w:tcPr>
            <w:tcW w:type="pct" w:w="65%"/>
            <w:shd w:fill="FFFFFF" w:color="FFFFFF" w:val="solid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Negotiated PayZen's co-lending agreement with ICICI Bank (5x leverage on our capital)</w:t>
            </w:r>
          </w:p>
        </w:tc>
      </w:tr>
    </w:tbl>
    <w:p>
      <w:pPr>
        <w:spacing w:before="180" w:after="80"/>
      </w:pPr>
      <w:r>
        <w:rPr>
          <w:rFonts w:ascii="Calibri" w:cs="Calibri" w:eastAsia="Calibri" w:hAnsi="Calibri"/>
          <w:b/>
          <w:bCs/>
          <w:color w:val="1652F0"/>
          <w:sz w:val="24"/>
          <w:szCs w:val="24"/>
        </w:rPr>
        <w:t xml:space="preserve">Advisory Board</w:t>
      </w:r>
    </w:p>
    <w:p>
      <w:pPr>
        <w:spacing w:before="40" w:after="40"/>
        <w:ind w:left="40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• Harshil Mathur — CEO, Razorpay (India's #1 payment gateway, $7.5B valuation)</w:t>
      </w:r>
    </w:p>
    <w:p>
      <w:pPr>
        <w:spacing w:before="40" w:after="40"/>
        <w:ind w:left="40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• Sharad Sharma — Co-founder, iSPIRT; Member, RBI Fintech Advisory Committee</w:t>
      </w:r>
    </w:p>
    <w:p>
      <w:pPr>
        <w:spacing w:before="40" w:after="40"/>
        <w:ind w:left="40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• Meera Sanyal — Former Country Head, RBS India; Former SEBI Board Member</w:t>
      </w:r>
    </w:p>
    <w:p>
      <w:pPr>
        <w:spacing w:before="40" w:after="40"/>
        <w:ind w:left="40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• Vivek Belgavi — FinTech Lead Partner, PwC India; 20+ FinTech IPO advisory</w:t>
      </w:r>
    </w:p>
    <w:p>
      <w:pPr>
        <w:shd w:fill="0A2540" w:color="0A2540" w:val="solid"/>
        <w:spacing w:before="280" w:after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TRACTION &amp; KEY METRICS (February 2026)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F0F8FF" w:color="F0F8FF" w:val="solid"/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19"/>
                <w:szCs w:val="19"/>
              </w:rPr>
              <w:t xml:space="preserve">Active Merchants</w:t>
            </w:r>
          </w:p>
        </w:tc>
        <w:tc>
          <w:tcPr>
            <w:tcW w:type="pct" w:w="65%"/>
            <w:shd w:fill="FFFFFF" w:color="FFFFFF" w:val="solid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28,500 across Bengaluru, Chennai, Hyderabad, Pune</w:t>
            </w:r>
          </w:p>
        </w:tc>
      </w:tr>
      <w:tr>
        <w:tc>
          <w:tcPr>
            <w:tcW w:type="pct" w:w="35%"/>
            <w:shd w:fill="FFFFFF" w:color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19"/>
                <w:szCs w:val="19"/>
              </w:rPr>
              <w:t xml:space="preserve">Active Gig Workers</w:t>
            </w:r>
          </w:p>
        </w:tc>
        <w:tc>
          <w:tcPr>
            <w:tcW w:type="pct" w:w="65%"/>
            <w:shd w:fill="FFFFFF" w:color="FFFFFF" w:val="solid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1,42,000 on PayZen Gig Pay (Swiggy 68K, Zomato 44K, Uber/Ola 30K)</w:t>
            </w:r>
          </w:p>
        </w:tc>
      </w:tr>
      <w:tr>
        <w:tc>
          <w:tcPr>
            <w:tcW w:type="pct" w:w="35%"/>
            <w:shd w:fill="F0F8FF" w:color="F0F8FF" w:val="solid"/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19"/>
                <w:szCs w:val="19"/>
              </w:rPr>
              <w:t xml:space="preserve">Total AUM Disbursed</w:t>
            </w:r>
          </w:p>
        </w:tc>
        <w:tc>
          <w:tcPr>
            <w:tcW w:type="pct" w:w="65%"/>
            <w:shd w:fill="FFFFFF" w:color="FFFFFF" w:val="solid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₹47 Crore — zero investor capital; 100% via ICICI Bank co-lending</w:t>
            </w:r>
          </w:p>
        </w:tc>
      </w:tr>
      <w:tr>
        <w:tc>
          <w:tcPr>
            <w:tcW w:type="pct" w:w="35%"/>
            <w:shd w:fill="FFFFFF" w:color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19"/>
                <w:szCs w:val="19"/>
              </w:rPr>
              <w:t xml:space="preserve">Active Loan Book</w:t>
            </w:r>
          </w:p>
        </w:tc>
        <w:tc>
          <w:tcPr>
            <w:tcW w:type="pct" w:w="65%"/>
            <w:shd w:fill="FFFFFF" w:color="FFFFFF" w:val="solid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₹18 Crore outstanding; avg loan size ₹32,000 for merchants</w:t>
            </w:r>
          </w:p>
        </w:tc>
      </w:tr>
      <w:tr>
        <w:tc>
          <w:tcPr>
            <w:tcW w:type="pct" w:w="35%"/>
            <w:shd w:fill="F0F8FF" w:color="F0F8FF" w:val="solid"/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19"/>
                <w:szCs w:val="19"/>
              </w:rPr>
              <w:t xml:space="preserve">Repayment Rate</w:t>
            </w:r>
          </w:p>
        </w:tc>
        <w:tc>
          <w:tcPr>
            <w:tcW w:type="pct" w:w="65%"/>
            <w:shd w:fill="FFFFFF" w:color="FFFFFF" w:val="solid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96.2% on-time (NPA: 3.8% vs industry 11%)</w:t>
            </w:r>
          </w:p>
        </w:tc>
      </w:tr>
      <w:tr>
        <w:tc>
          <w:tcPr>
            <w:tcW w:type="pct" w:w="35%"/>
            <w:shd w:fill="FFFFFF" w:color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19"/>
                <w:szCs w:val="19"/>
              </w:rPr>
              <w:t xml:space="preserve">Current ARR</w:t>
            </w:r>
          </w:p>
        </w:tc>
        <w:tc>
          <w:tcPr>
            <w:tcW w:type="pct" w:w="65%"/>
            <w:shd w:fill="FFFFFF" w:color="FFFFFF" w:val="solid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₹3.8 Crore growing at 22% MoM for 5 consecutive months</w:t>
            </w:r>
          </w:p>
        </w:tc>
      </w:tr>
      <w:tr>
        <w:tc>
          <w:tcPr>
            <w:tcW w:type="pct" w:w="35%"/>
            <w:shd w:fill="F0F8FF" w:color="F0F8FF" w:val="solid"/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19"/>
                <w:szCs w:val="19"/>
              </w:rPr>
              <w:t xml:space="preserve">NRR</w:t>
            </w:r>
          </w:p>
        </w:tc>
        <w:tc>
          <w:tcPr>
            <w:tcW w:type="pct" w:w="65%"/>
            <w:shd w:fill="FFFFFF" w:color="FFFFFF" w:val="solid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118% — merchants increase credit limit usage month over month</w:t>
            </w:r>
          </w:p>
        </w:tc>
      </w:tr>
      <w:tr>
        <w:tc>
          <w:tcPr>
            <w:tcW w:type="pct" w:w="35%"/>
            <w:shd w:fill="FFFFFF" w:color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19"/>
                <w:szCs w:val="19"/>
              </w:rPr>
              <w:t xml:space="preserve">CAC (Merchant)</w:t>
            </w:r>
          </w:p>
        </w:tc>
        <w:tc>
          <w:tcPr>
            <w:tcW w:type="pct" w:w="65%"/>
            <w:shd w:fill="FFFFFF" w:color="FFFFFF" w:val="solid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₹1,200 (industry avg: ₹4,500)</w:t>
            </w:r>
          </w:p>
        </w:tc>
      </w:tr>
      <w:tr>
        <w:tc>
          <w:tcPr>
            <w:tcW w:type="pct" w:w="35%"/>
            <w:shd w:fill="F0F8FF" w:color="F0F8FF" w:val="solid"/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19"/>
                <w:szCs w:val="19"/>
              </w:rPr>
              <w:t xml:space="preserve">LTV:CAC</w:t>
            </w:r>
          </w:p>
        </w:tc>
        <w:tc>
          <w:tcPr>
            <w:tcW w:type="pct" w:w="65%"/>
            <w:shd w:fill="FFFFFF" w:color="FFFFFF" w:val="solid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23.75x (benchmark: 3x minimum for sustainable business)</w:t>
            </w:r>
          </w:p>
        </w:tc>
      </w:tr>
      <w:tr>
        <w:tc>
          <w:tcPr>
            <w:tcW w:type="pct" w:w="35%"/>
            <w:shd w:fill="FFFFFF" w:color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19"/>
                <w:szCs w:val="19"/>
              </w:rPr>
              <w:t xml:space="preserve">Payback Period</w:t>
            </w:r>
          </w:p>
        </w:tc>
        <w:tc>
          <w:tcPr>
            <w:tcW w:type="pct" w:w="65%"/>
            <w:shd w:fill="FFFFFF" w:color="FFFFFF" w:val="solid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2.8 months</w:t>
            </w:r>
          </w:p>
        </w:tc>
      </w:tr>
      <w:tr>
        <w:tc>
          <w:tcPr>
            <w:tcW w:type="pct" w:w="35%"/>
            <w:shd w:fill="F0F8FF" w:color="F0F8FF" w:val="solid"/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19"/>
                <w:szCs w:val="19"/>
              </w:rPr>
              <w:t xml:space="preserve">NPS Score</w:t>
            </w:r>
          </w:p>
        </w:tc>
        <w:tc>
          <w:tcPr>
            <w:tcW w:type="pct" w:w="65%"/>
            <w:shd w:fill="FFFFFF" w:color="FFFFFF" w:val="solid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74 — measured across 8,200 merchant survey (Dec 2025)</w:t>
            </w:r>
          </w:p>
        </w:tc>
      </w:tr>
      <w:tr>
        <w:tc>
          <w:tcPr>
            <w:tcW w:type="pct" w:w="35%"/>
            <w:shd w:fill="FFFFFF" w:color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19"/>
                <w:szCs w:val="19"/>
              </w:rPr>
              <w:t xml:space="preserve">Key Partnerships</w:t>
            </w:r>
          </w:p>
        </w:tc>
        <w:tc>
          <w:tcPr>
            <w:tcW w:type="pct" w:w="65%"/>
            <w:shd w:fill="FFFFFF" w:color="FFFFFF" w:val="solid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ICICI Bank (co-lending), Swiggy (gig API), PhonePe (QR credit)</w:t>
            </w:r>
          </w:p>
        </w:tc>
      </w:tr>
      <w:tr>
        <w:tc>
          <w:tcPr>
            <w:tcW w:type="pct" w:w="35%"/>
            <w:shd w:fill="F0F8FF" w:color="F0F8FF" w:val="solid"/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19"/>
                <w:szCs w:val="19"/>
              </w:rPr>
              <w:t xml:space="preserve">Media Coverage</w:t>
            </w:r>
          </w:p>
        </w:tc>
        <w:tc>
          <w:tcPr>
            <w:tcW w:type="pct" w:w="65%"/>
            <w:shd w:fill="FFFFFF" w:color="FFFFFF" w:val="solid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Economic Times, Mint, Inc42, The Ken — Top 10 FinTech Startups 2025</w:t>
            </w:r>
          </w:p>
        </w:tc>
      </w:tr>
    </w:tbl>
    <w:p>
      <w:pPr>
        <w:shd w:fill="0A2540" w:color="0A2540" w:val="solid"/>
        <w:spacing w:before="280" w:after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COMPETITIVE ANALYSIS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PayZen competes in India's digital lending and BNPL space. Key differentiation: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fill="0A2540" w:color="0A254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Company</w:t>
            </w:r>
          </w:p>
        </w:tc>
        <w:tc>
          <w:tcPr>
            <w:tcW w:type="pct" w:w="20%"/>
            <w:shd w:fill="0A2540" w:color="0A254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pct" w:w="65%"/>
            <w:shd w:fill="0A2540" w:color="0A254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PayZen Advantage</w:t>
            </w:r>
          </w:p>
        </w:tc>
      </w:tr>
      <w:tr>
        <w:tc>
          <w:tcPr>
            <w:shd w:fill="F0F8FF" w:color="F0F8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LazyPay</w:t>
            </w:r>
          </w:p>
        </w:tc>
        <w:tc>
          <w:tcPr>
            <w:shd w:fill="F0F8FF" w:color="F0F8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Consumer BNPL</w:t>
            </w:r>
          </w:p>
        </w:tc>
        <w:tc>
          <w:tcPr>
            <w:shd w:fill="F0F8FF" w:color="F0F8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Consumer focus, not merchant/gig; CAC 4x higher; no UPI credit layer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KreditBee</w:t>
            </w:r>
          </w:p>
        </w:tc>
        <w:tc>
          <w:tcPr>
            <w:shd w:fill="FFFFFF"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Personal loans</w:t>
            </w:r>
          </w:p>
        </w:tc>
        <w:tc>
          <w:tcPr>
            <w:shd w:fill="FFFFFF"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No merchant credit; no gig pay; higher NPA (8.2%); App-only</w:t>
            </w:r>
          </w:p>
        </w:tc>
      </w:tr>
      <w:tr>
        <w:tc>
          <w:tcPr>
            <w:shd w:fill="F0F8FF" w:color="F0F8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ZestMoney</w:t>
            </w:r>
          </w:p>
        </w:tc>
        <w:tc>
          <w:tcPr>
            <w:shd w:fill="F0F8FF" w:color="F0F8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EMI credit</w:t>
            </w:r>
          </w:p>
        </w:tc>
        <w:tc>
          <w:tcPr>
            <w:shd w:fill="F0F8FF" w:color="F0F8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Shut down 2024; PayZen fills this vacuum in B2B segment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Uni Cards</w:t>
            </w:r>
          </w:p>
        </w:tc>
        <w:tc>
          <w:tcPr>
            <w:shd w:fill="FFFFFF"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Credit card</w:t>
            </w:r>
          </w:p>
        </w:tc>
        <w:tc>
          <w:tcPr>
            <w:shd w:fill="FFFFFF"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Requires CIBIL score; excludes 78% of PayZen's target merchants</w:t>
            </w:r>
          </w:p>
        </w:tc>
      </w:tr>
      <w:tr>
        <w:tc>
          <w:tcPr>
            <w:shd w:fill="F0F8FF" w:color="F0F8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Capital Float</w:t>
            </w:r>
          </w:p>
        </w:tc>
        <w:tc>
          <w:tcPr>
            <w:shd w:fill="F0F8FF" w:color="F0F8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SME lending</w:t>
            </w:r>
          </w:p>
        </w:tc>
        <w:tc>
          <w:tcPr>
            <w:shd w:fill="F0F8FF" w:color="F0F8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₹5L+ loans only; ignores micro-merchants with ₹5K-₹2L need</w:t>
            </w:r>
          </w:p>
        </w:tc>
      </w:tr>
      <w:tr>
        <w:tc>
          <w:tcPr>
            <w:shd w:fill="FFFDE7" w:color="FFFDE7" w:val="solid"/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19"/>
                <w:szCs w:val="19"/>
              </w:rPr>
              <w:t xml:space="preserve">PayZen ✓</w:t>
            </w:r>
          </w:p>
        </w:tc>
        <w:tc>
          <w:tcPr>
            <w:shd w:fill="FFFDE7" w:color="FFFDE7" w:val="solid"/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19"/>
                <w:szCs w:val="19"/>
              </w:rPr>
              <w:t xml:space="preserve">Merchant + Gig Pay</w:t>
            </w:r>
          </w:p>
        </w:tc>
        <w:tc>
          <w:tcPr>
            <w:shd w:fill="FFFDE7" w:color="FFFDE7" w:val="solid"/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19"/>
                <w:szCs w:val="19"/>
              </w:rPr>
              <w:t xml:space="preserve">ONLY player: UPI-native + AI alternative scoring + gig pay + 96.2% repayment</w:t>
            </w:r>
          </w:p>
        </w:tc>
      </w:tr>
    </w:tbl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PayZen's moat: Alternative data AI engine trained on 47Cr disbursals, ICICI co-lending gives 5x capital efficiency, and gig worker sticky acquisition via employer API integrations.</w:t>
      </w:r>
    </w:p>
    <w:p>
      <w:pPr>
        <w:shd w:fill="0A2540" w:color="0A2540" w:val="solid"/>
        <w:spacing w:before="280" w:after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RISK FACTORS &amp; MITIGATION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0A2540" w:color="0A254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pct" w:w="12%"/>
            <w:shd w:fill="0A2540" w:color="0A254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pct" w:w="63%"/>
            <w:shd w:fill="0A2540" w:color="0A254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shd w:fill="F0F8FF" w:color="F0F8FF" w:val="solid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RBI NBFC License Delay</w:t>
            </w:r>
          </w:p>
        </w:tc>
        <w:tc>
          <w:tcPr>
            <w:shd w:fill="F0F8FF" w:color="F0F8FF" w:val="solid"/>
          </w:tcPr>
          <w:p>
            <w:r>
              <w:rPr>
                <w:rFonts w:ascii="Calibri" w:cs="Calibri" w:eastAsia="Calibri" w:hAnsi="Calibri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shd w:fill="F0F8FF" w:color="F0F8FF" w:val="solid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Operations continue under Vivriti Capital NBFC; filed Dec 2025; Cyril Amarchand legal team engaged; license by Sep 2026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NPA Spike in Downturn</w:t>
            </w:r>
          </w:p>
        </w:tc>
        <w:tc>
          <w:tcPr>
            <w:shd w:fill="FFFFFF" w:color="FFFFFF" w:val="solid"/>
          </w:tcPr>
          <w:p>
            <w:r>
              <w:rPr>
                <w:rFonts w:ascii="Calibri" w:cs="Calibri" w:eastAsia="Calibri" w:hAnsi="Calibri"/>
                <w:color w:val="E67E22"/>
                <w:sz w:val="19"/>
                <w:szCs w:val="19"/>
              </w:rPr>
              <w:t xml:space="preserve">Medium</w:t>
            </w:r>
          </w:p>
        </w:tc>
        <w:tc>
          <w:tcPr>
            <w:shd w:fill="FFFFFF" w:color="FFFFFF" w:val="solid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96.2% repayment + ICICI co-lending absorbs first-loss; credit limits auto-reduced for late payers; max single exposure ₹2L</w:t>
            </w:r>
          </w:p>
        </w:tc>
      </w:tr>
      <w:tr>
        <w:tc>
          <w:tcPr>
            <w:shd w:fill="F0F8FF" w:color="F0F8FF" w:val="solid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UPI Policy Change (NPCI)</w:t>
            </w:r>
          </w:p>
        </w:tc>
        <w:tc>
          <w:tcPr>
            <w:shd w:fill="F0F8FF" w:color="F0F8FF" w:val="solid"/>
          </w:tcPr>
          <w:p>
            <w:r>
              <w:rPr>
                <w:rFonts w:ascii="Calibri" w:cs="Calibri" w:eastAsia="Calibri" w:hAnsi="Calibri"/>
                <w:color w:val="E67E22"/>
                <w:sz w:val="19"/>
                <w:szCs w:val="19"/>
              </w:rPr>
              <w:t xml:space="preserve">Medium</w:t>
            </w:r>
          </w:p>
        </w:tc>
        <w:tc>
          <w:tcPr>
            <w:shd w:fill="F0F8FF" w:color="F0F8FF" w:val="solid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Diversifying to Account Aggregator + ONDC; not 100% UPI dependent; partnership with PhonePe and Google Pay provides redundancy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Big Tech Competition (Juspay, Paytm)</w:t>
            </w:r>
          </w:p>
        </w:tc>
        <w:tc>
          <w:tcPr>
            <w:shd w:fill="FFFFFF" w:color="FFFFFF" w:val="solid"/>
          </w:tcPr>
          <w:p>
            <w:r>
              <w:rPr>
                <w:rFonts w:ascii="Calibri" w:cs="Calibri" w:eastAsia="Calibri" w:hAnsi="Calibri"/>
                <w:color w:val="E67E22"/>
                <w:sz w:val="19"/>
                <w:szCs w:val="19"/>
              </w:rPr>
              <w:t xml:space="preserve">Medium</w:t>
            </w:r>
          </w:p>
        </w:tc>
        <w:tc>
          <w:tcPr>
            <w:shd w:fill="FFFFFF" w:color="FFFFFF" w:val="solid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Hyper-focused on merchants &lt;₹2L credit; Paytm exited lending; Juspay is infra, not lender; first-mover advantage in gig pay</w:t>
            </w:r>
          </w:p>
        </w:tc>
      </w:tr>
      <w:tr>
        <w:tc>
          <w:tcPr>
            <w:shd w:fill="F0F8FF" w:color="F0F8FF" w:val="solid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Data Privacy (DPDP Act 2023)</w:t>
            </w:r>
          </w:p>
        </w:tc>
        <w:tc>
          <w:tcPr>
            <w:shd w:fill="F0F8FF" w:color="F0F8FF" w:val="solid"/>
          </w:tcPr>
          <w:p>
            <w:r>
              <w:rPr>
                <w:rFonts w:ascii="Calibri" w:cs="Calibri" w:eastAsia="Calibri" w:hAnsi="Calibri"/>
                <w:color w:val="27AE60"/>
                <w:sz w:val="19"/>
                <w:szCs w:val="19"/>
              </w:rPr>
              <w:t xml:space="preserve">Low</w:t>
            </w:r>
          </w:p>
        </w:tc>
        <w:tc>
          <w:tcPr>
            <w:shd w:fill="F0F8FF" w:color="F0F8FF" w:val="solid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 AA consents explicit; zero data sold; DPDP compliant architecture built from day 1; Data Protection Officer appointed</w:t>
            </w:r>
          </w:p>
        </w:tc>
      </w:tr>
    </w:tbl>
    <w:p>
      <w:pPr>
        <w:shd w:fill="0A2540" w:color="0A2540" w:val="solid"/>
        <w:spacing w:before="280" w:after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USE OF FUNDS — $2,500,000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F0F8FF" w:color="F0F8FF" w:val="solid"/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19"/>
                <w:szCs w:val="19"/>
              </w:rPr>
              <w:t xml:space="preserve">Lending Capital (40%)</w:t>
            </w:r>
          </w:p>
        </w:tc>
        <w:tc>
          <w:tcPr>
            <w:tcW w:type="pct" w:w="65%"/>
            <w:shd w:fill="FFFFFF" w:color="FFFFFF" w:val="solid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$1,000,000 — Seeds credit book; ICICI 5x co-lending = $5M deployable capital</w:t>
            </w:r>
          </w:p>
        </w:tc>
      </w:tr>
      <w:tr>
        <w:tc>
          <w:tcPr>
            <w:tcW w:type="pct" w:w="35%"/>
            <w:shd w:fill="FFFFFF" w:color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19"/>
                <w:szCs w:val="19"/>
              </w:rPr>
              <w:t xml:space="preserve">Technology (25%)</w:t>
            </w:r>
          </w:p>
        </w:tc>
        <w:tc>
          <w:tcPr>
            <w:tcW w:type="pct" w:w="65%"/>
            <w:shd w:fill="FFFFFF" w:color="FFFFFF" w:val="solid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$625,000 — AI credit v2.0, Account Aggregator, fraud ML, mobile app redesign</w:t>
            </w:r>
          </w:p>
        </w:tc>
      </w:tr>
      <w:tr>
        <w:tc>
          <w:tcPr>
            <w:tcW w:type="pct" w:w="35%"/>
            <w:shd w:fill="F0F8FF" w:color="F0F8FF" w:val="solid"/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19"/>
                <w:szCs w:val="19"/>
              </w:rPr>
              <w:t xml:space="preserve">Sales &amp; Growth (20%)</w:t>
            </w:r>
          </w:p>
        </w:tc>
        <w:tc>
          <w:tcPr>
            <w:tcW w:type="pct" w:w="65%"/>
            <w:shd w:fill="FFFFFF" w:color="FFFFFF" w:val="solid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$500,000 — 15 cities; 1,00,000 merchants; 3,00,000 gig workers</w:t>
            </w:r>
          </w:p>
        </w:tc>
      </w:tr>
      <w:tr>
        <w:tc>
          <w:tcPr>
            <w:tcW w:type="pct" w:w="35%"/>
            <w:shd w:fill="FFFFFF" w:color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19"/>
                <w:szCs w:val="19"/>
              </w:rPr>
              <w:t xml:space="preserve">Regulatory (10%)</w:t>
            </w:r>
          </w:p>
        </w:tc>
        <w:tc>
          <w:tcPr>
            <w:tcW w:type="pct" w:w="65%"/>
            <w:shd w:fill="FFFFFF" w:color="FFFFFF" w:val="solid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$250,000 — RBI NBFC license completion, compliance, legal</w:t>
            </w:r>
          </w:p>
        </w:tc>
      </w:tr>
      <w:tr>
        <w:tc>
          <w:tcPr>
            <w:tcW w:type="pct" w:w="35%"/>
            <w:shd w:fill="F0F8FF" w:color="F0F8FF" w:val="solid"/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19"/>
                <w:szCs w:val="19"/>
              </w:rPr>
              <w:t xml:space="preserve">Team &amp; Operations (5%)</w:t>
            </w:r>
          </w:p>
        </w:tc>
        <w:tc>
          <w:tcPr>
            <w:tcW w:type="pct" w:w="65%"/>
            <w:shd w:fill="FFFFFF" w:color="FFFFFF" w:val="solid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$125,000 — 12 hires (6 engineers, 4 sales, 2 credit analysts)</w:t>
            </w:r>
          </w:p>
        </w:tc>
      </w:tr>
      <w:tr>
        <w:tc>
          <w:tcPr>
            <w:tcW w:type="pct" w:w="35%"/>
            <w:shd w:fill="FFFFFF" w:color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19"/>
                <w:szCs w:val="19"/>
              </w:rPr>
              <w:t xml:space="preserve">Total</w:t>
            </w:r>
          </w:p>
        </w:tc>
        <w:tc>
          <w:tcPr>
            <w:tcW w:type="pct" w:w="65%"/>
            <w:shd w:fill="FFFFFF" w:color="FFFFFF" w:val="solid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$2,500,000 | 20-month runway | EBITDA positive Q4 FY26</w:t>
            </w:r>
          </w:p>
        </w:tc>
      </w:tr>
    </w:tbl>
    <w:p>
      <w:pPr>
        <w:shd w:fill="0A2540" w:color="0A2540" w:val="solid"/>
        <w:spacing w:before="280" w:after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INVESTOR FEEDBACK</w:t>
      </w:r>
    </w:p>
    <w:p>
      <w:pPr>
        <w:pBdr>
          <w:left w:val="single" w:color="1652F0" w:sz="12"/>
        </w:pBdr>
        <w:spacing w:before="200" w:after="60"/>
        <w:ind w:left="200"/>
      </w:pPr>
      <w:r>
        <w:rPr>
          <w:rFonts w:ascii="Calibri" w:cs="Calibri" w:eastAsia="Calibri" w:hAnsi="Calibri"/>
          <w:b/>
          <w:bCs/>
          <w:color w:val="0A2540"/>
          <w:sz w:val="22"/>
          <w:szCs w:val="22"/>
        </w:rPr>
        <w:t xml:space="preserve">Sequoia Surge</w:t>
      </w:r>
      <w:r>
        <w:rPr>
          <w:rFonts w:ascii="Calibri" w:cs="Calibri" w:eastAsia="Calibri" w:hAnsi="Calibri"/>
          <w:b/>
          <w:bCs/>
          <w:color w:val="1A7A4A"/>
          <w:sz w:val="20"/>
          <w:szCs w:val="20"/>
        </w:rPr>
        <w:t xml:space="preserve">  [STRONG INTEREST]</w:t>
      </w:r>
    </w:p>
    <w:p>
      <w:pPr>
        <w:spacing w:after="60"/>
        <w:ind w:left="20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"PayZen has cracked what everyone else failed at — getting gig workers into formal credit without CIBIL scores. The 96.2% repayment rate is extraordinary. Rohan's Razorpay background and Deepika's ML expertise is the perfect founding team for this problem. In active diligence for lead investor role."</w:t>
      </w:r>
    </w:p>
    <w:p>
      <w:pPr>
        <w:pBdr>
          <w:left w:val="single" w:color="1652F0" w:sz="12"/>
        </w:pBdr>
        <w:spacing w:before="200" w:after="60"/>
        <w:ind w:left="200"/>
      </w:pPr>
      <w:r>
        <w:rPr>
          <w:rFonts w:ascii="Calibri" w:cs="Calibri" w:eastAsia="Calibri" w:hAnsi="Calibri"/>
          <w:b/>
          <w:bCs/>
          <w:color w:val="0A2540"/>
          <w:sz w:val="22"/>
          <w:szCs w:val="22"/>
        </w:rPr>
        <w:t xml:space="preserve">Elevation Capital</w:t>
      </w:r>
      <w:r>
        <w:rPr>
          <w:rFonts w:ascii="Calibri" w:cs="Calibri" w:eastAsia="Calibri" w:hAnsi="Calibri"/>
          <w:b/>
          <w:bCs/>
          <w:color w:val="E67E22"/>
          <w:sz w:val="20"/>
          <w:szCs w:val="20"/>
        </w:rPr>
        <w:t xml:space="preserve">  [CONSIDERING]</w:t>
      </w:r>
    </w:p>
    <w:p>
      <w:pPr>
        <w:spacing w:after="60"/>
        <w:ind w:left="20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"The unit economics are compelling — 23.75x LTV:CAC is best-in-class. The ICICI co-lending arrangement shows financial sophistication unusual for a Series A. Key question: can they maintain repayment quality at 10x scale? Want to see 3 more months of data post 50K merchant milestone."</w:t>
      </w:r>
    </w:p>
    <w:p>
      <w:pPr>
        <w:pBdr>
          <w:left w:val="single" w:color="1652F0" w:sz="12"/>
        </w:pBdr>
        <w:spacing w:before="200" w:after="60"/>
        <w:ind w:left="200"/>
      </w:pPr>
      <w:r>
        <w:rPr>
          <w:rFonts w:ascii="Calibri" w:cs="Calibri" w:eastAsia="Calibri" w:hAnsi="Calibri"/>
          <w:b/>
          <w:bCs/>
          <w:color w:val="0A2540"/>
          <w:sz w:val="22"/>
          <w:szCs w:val="22"/>
        </w:rPr>
        <w:t xml:space="preserve">Blume Ventures</w:t>
      </w:r>
      <w:r>
        <w:rPr>
          <w:rFonts w:ascii="Calibri" w:cs="Calibri" w:eastAsia="Calibri" w:hAnsi="Calibri"/>
          <w:b/>
          <w:bCs/>
          <w:color w:val="1652F0"/>
          <w:sz w:val="20"/>
          <w:szCs w:val="20"/>
        </w:rPr>
        <w:t xml:space="preserve">  [INTERESTED]</w:t>
      </w:r>
    </w:p>
    <w:p>
      <w:pPr>
        <w:spacing w:after="60"/>
        <w:ind w:left="20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"India's gig economy credit gap is the most underserved opportunity in FinTech. PayZen is the only company we've seen addressing both merchant and gig worker in a unified platform. RBI license will be the key derisking event — happy to revisit post-approval."</w:t>
      </w:r>
    </w:p>
    <w:p>
      <w:pPr>
        <w:shd w:fill="0A2540" w:color="0A2540" w:val="solid"/>
        <w:spacing w:before="280" w:after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9. CONTACT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F0F8FF" w:color="F0F8FF" w:val="solid"/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19"/>
                <w:szCs w:val="19"/>
              </w:rPr>
              <w:t xml:space="preserve">Primary Contact</w:t>
            </w:r>
          </w:p>
        </w:tc>
        <w:tc>
          <w:tcPr>
            <w:tcW w:type="pct" w:w="65%"/>
            <w:shd w:fill="FFFFFF" w:color="FFFFFF" w:val="solid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Rohan Iyer, CEO — rohan@payzen.in | +91 98400 12345</w:t>
            </w:r>
          </w:p>
        </w:tc>
      </w:tr>
      <w:tr>
        <w:tc>
          <w:tcPr>
            <w:tcW w:type="pct" w:w="35%"/>
            <w:shd w:fill="FFFFFF" w:color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19"/>
                <w:szCs w:val="19"/>
              </w:rPr>
              <w:t xml:space="preserve">Investor Relations</w:t>
            </w:r>
          </w:p>
        </w:tc>
        <w:tc>
          <w:tcPr>
            <w:tcW w:type="pct" w:w="65%"/>
            <w:shd w:fill="FFFFFF" w:color="FFFFFF" w:val="solid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ir@payzen.in | Response within 24 hours</w:t>
            </w:r>
          </w:p>
        </w:tc>
      </w:tr>
      <w:tr>
        <w:tc>
          <w:tcPr>
            <w:tcW w:type="pct" w:w="35%"/>
            <w:shd w:fill="F0F8FF" w:color="F0F8FF" w:val="solid"/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19"/>
                <w:szCs w:val="19"/>
              </w:rPr>
              <w:t xml:space="preserve">Data Room</w:t>
            </w:r>
          </w:p>
        </w:tc>
        <w:tc>
          <w:tcPr>
            <w:tcW w:type="pct" w:w="65%"/>
            <w:shd w:fill="FFFFFF" w:color="FFFFFF" w:val="solid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Available on NDA — email ir@payzen.in</w:t>
            </w:r>
          </w:p>
        </w:tc>
      </w:tr>
      <w:tr>
        <w:tc>
          <w:tcPr>
            <w:tcW w:type="pct" w:w="35%"/>
            <w:shd w:fill="FFFFFF" w:color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19"/>
                <w:szCs w:val="19"/>
              </w:rPr>
              <w:t xml:space="preserve">Location</w:t>
            </w:r>
          </w:p>
        </w:tc>
        <w:tc>
          <w:tcPr>
            <w:tcW w:type="pct" w:w="65%"/>
            <w:shd w:fill="FFFFFF" w:color="FFFFFF" w:val="solid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Bengaluru HQ + Chennai, Hyderabad, Pune offices</w:t>
            </w:r>
          </w:p>
        </w:tc>
      </w:tr>
      <w:tr>
        <w:tc>
          <w:tcPr>
            <w:tcW w:type="pct" w:w="35%"/>
            <w:shd w:fill="F0F8FF" w:color="F0F8FF" w:val="solid"/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19"/>
                <w:szCs w:val="19"/>
              </w:rPr>
              <w:t xml:space="preserve">Term Sheet Deadline</w:t>
            </w:r>
          </w:p>
        </w:tc>
        <w:tc>
          <w:tcPr>
            <w:tcW w:type="pct" w:w="65%"/>
            <w:shd w:fill="FFFFFF" w:color="FFFFFF" w:val="solid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May 31, 2026 (preferred close by June 30, 2026)</w:t>
            </w:r>
          </w:p>
        </w:tc>
      </w:tr>
    </w:tbl>
    <w:p>
      <w:pPr>
        <w:spacing w:before="600"/>
        <w:jc w:val="center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Confidential. For qualified investors only. Financial projections are forward-looking estimates.</w:t>
      </w:r>
    </w:p>
    <w:sectPr>
      <w:head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652F0" w:sz="6"/>
      </w:pBdr>
    </w:pPr>
    <w:r>
      <w:rPr>
        <w:rFonts w:ascii="Calibri" w:cs="Calibri" w:eastAsia="Calibri" w:hAnsi="Calibri"/>
        <w:color w:val="888888"/>
        <w:sz w:val="18"/>
        <w:szCs w:val="18"/>
      </w:rPr>
      <w:t xml:space="preserve">PayZen FinTech — Investor Background Document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2026-03-02T18:28:15.667Z</dcterms:created>
  <dcterms:modified xsi:type="dcterms:W3CDTF">2026-03-02T18:28:15.668Z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