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Financial Risk Assessment Report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Q3 FY 2024-25 | Assessed by: CFO Office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Credit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Receivables Outstanding: INR 3.8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Overdue &gt;90 days: INR 0.62 Cr (16.3% of receivables)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Top 3 clients account for 44% of AR — concentration risk flagged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Credit Rating: BBB+ (CRISIL)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Expected Credit Loss Provision: INR 0.18 Cr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Liquidity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Ratio: 1.82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Quick Ratio: 1.45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Cash &amp; Cash Equivalents: INR 2.1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Operating Cash Flow (TTM): INR 1.4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Burn Rate (if revenues drop 30%): Runway = 14 months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Working Capital Gap: INR 0.55 Cr — manageable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Currency / FX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USD Exposure (SaaS subscriptions): USD 48,000/month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EUR Exposure: EUR 12,000/month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Hedging Policy: Forward contracts for &gt;USD 25,000 exposures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Unhedged FX Risk: ~INR 28 Lakhs at current rates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Interest Rate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Debt: INR 5.2 Cr (floating rate: INR 3.1 Cr)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Impact of 100bps rate increase: INR 31 Lakhs additional annual interest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Fixed rate debt proportion: 40% — partially insulated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Capital Adequacy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Debt-to-Equity Ratio: 0.68 (comfortable)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Net Worth: INR 7.6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Capital Reserve: INR 1.2 Cr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2026-03-04T07:16:08.520Z</dcterms:created>
  <dcterms:modified xsi:type="dcterms:W3CDTF">2026-03-04T07:16:08.520Z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