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Reason for Restructuring</w:t>
      </w:r>
    </w:p>
    <w:p>
      <w:r>
        <w:t>Test Document — Empora Restructure Module</w:t>
        <w:br/>
        <w:t>Prepared for: ABC Corp Ltd  |  Date: 05-Mar-2025</w:t>
      </w:r>
    </w:p>
    <w:p/>
    <w:p>
      <w:pPr>
        <w:pStyle w:val="Heading2"/>
      </w:pPr>
      <w:r>
        <w:t>Board Resolution</w:t>
      </w:r>
    </w:p>
    <w:p>
      <w:r>
        <w:rPr>
          <w:sz w:val="22"/>
        </w:rPr>
        <w:t>The Board of Directors of ABC Corp resolved on 01-Jan-2025 to initiate a business restructuring exercise due to sustained operating losses over 3 consecutive fiscal years.</w:t>
      </w:r>
    </w:p>
    <w:p/>
    <w:p>
      <w:pPr>
        <w:pStyle w:val="Heading2"/>
      </w:pPr>
      <w:r>
        <w:t>Financial Distress Analysis</w:t>
      </w:r>
    </w:p>
    <w:p>
      <w:r>
        <w:rPr>
          <w:sz w:val="22"/>
        </w:rPr>
        <w:t>The company recorded a net loss of ₹42 Cr in FY2024. Debt-to-equity ratio stands at 4.2x. Interest coverage ratio has fallen below 1.0x for 6 quarters.</w:t>
      </w:r>
    </w:p>
    <w:p/>
    <w:p>
      <w:pPr>
        <w:pStyle w:val="Heading2"/>
      </w:pPr>
      <w:r>
        <w:t>Insolvency Risk Assessment</w:t>
      </w:r>
    </w:p>
    <w:p>
      <w:r>
        <w:rPr>
          <w:sz w:val="22"/>
        </w:rPr>
        <w:t>Based on Altman Z-Score analysis, the company scores 1.4, placing it in the distress zone. Immediate restructuring is recommended to avoid IBC proceedings.</w:t>
      </w:r>
    </w:p>
    <w:p/>
    <w:p>
      <w:pPr>
        <w:pStyle w:val="Heading2"/>
      </w:pPr>
      <w:r>
        <w:t>Management Rationale</w:t>
      </w:r>
    </w:p>
    <w:p>
      <w:r>
        <w:rPr>
          <w:sz w:val="22"/>
        </w:rPr>
        <w:t>Primary triggers: (1) Loss of two major clients (45% revenue). (2) Raw material cost surge of 38%. (3) Legacy debt at high fixed interest rates.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