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Organizational Plan</w:t>
      </w:r>
    </w:p>
    <w:p>
      <w:r>
        <w:t>Test Document — Empora Restructure Module</w:t>
        <w:br/>
        <w:t>Prepared for: ABC Corp Ltd  |  Date: 05-Mar-2025</w:t>
      </w:r>
    </w:p>
    <w:p/>
    <w:p>
      <w:pPr>
        <w:pStyle w:val="Heading2"/>
      </w:pPr>
      <w:r>
        <w:t>New Org Chart</w:t>
      </w:r>
    </w:p>
    <w:p>
      <w:r>
        <w:rPr>
          <w:sz w:val="22"/>
        </w:rPr>
        <w:t>Flattened structure from 8 layers to 5 layers. Two business units merged into one. New leadership: CEO, CFO, COO, CHRO reporting directly to Board.</w:t>
      </w:r>
    </w:p>
    <w:p/>
    <w:p>
      <w:pPr>
        <w:pStyle w:val="Heading2"/>
      </w:pPr>
      <w:r>
        <w:t>Headcount Reduction Plan</w:t>
      </w:r>
    </w:p>
    <w:p>
      <w:r>
        <w:rPr>
          <w:sz w:val="22"/>
        </w:rPr>
        <w:t>Current headcount: 1,240. Target: 920 (reduction of 320). VRS offered to 200 employees above 50 years. 120 contractual roles not renewed.</w:t>
      </w:r>
    </w:p>
    <w:p/>
    <w:p>
      <w:pPr>
        <w:pStyle w:val="Heading2"/>
      </w:pPr>
      <w:r>
        <w:t>HR Restructuring Policy</w:t>
      </w:r>
    </w:p>
    <w:p>
      <w:r>
        <w:rPr>
          <w:sz w:val="22"/>
        </w:rPr>
        <w:t>Severance: 2 months per year of service. Retraining budget: ₹1.2 Cr for retained employees. New KPI framework linked to restructuring milestones.</w:t>
      </w:r>
    </w:p>
    <w:p/>
    <w:p>
      <w:pPr>
        <w:pStyle w:val="Heading2"/>
      </w:pPr>
      <w:r>
        <w:t>Employee Communication Plan</w:t>
      </w:r>
    </w:p>
    <w:p>
      <w:r>
        <w:rPr>
          <w:sz w:val="22"/>
        </w:rPr>
        <w:t>Town hall meetings scheduled: 3 locations, 15-Mar-2025. Union consultation completed. Grievance redressal cell established with 30-day resolution SLA.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