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Impact</w:t>
      </w:r>
    </w:p>
    <w:p>
      <w:r>
        <w:t>Test Document — Empora Restructure Module</w:t>
        <w:br/>
        <w:t>Prepared for: ABC Corp Ltd  |  Date: 05-Mar-2025</w:t>
      </w:r>
    </w:p>
    <w:p/>
    <w:p>
      <w:pPr>
        <w:pStyle w:val="Heading2"/>
      </w:pPr>
      <w:r>
        <w:t>IBC Proceedings Status</w:t>
      </w:r>
    </w:p>
    <w:p>
      <w:r>
        <w:rPr>
          <w:sz w:val="22"/>
        </w:rPr>
        <w:t>Pre-admission stage. Company filed for voluntary resolution under Section 10 of IBC. Resolution Professional appointed: Mr. R. Sharma (IBBI Reg. No. IBBI/IPA-001/IP-P00234).</w:t>
      </w:r>
    </w:p>
    <w:p/>
    <w:p>
      <w:pPr>
        <w:pStyle w:val="Heading2"/>
      </w:pPr>
      <w:r>
        <w:t>NCLT Orders</w:t>
      </w:r>
    </w:p>
    <w:p>
      <w:r>
        <w:rPr>
          <w:sz w:val="22"/>
        </w:rPr>
        <w:t>NCLT Mumbai bench order dated 10-Feb-2025: Moratorium declared under Section 14. All debt recovery proceedings stayed.</w:t>
      </w:r>
    </w:p>
    <w:p/>
    <w:p>
      <w:pPr>
        <w:pStyle w:val="Heading2"/>
      </w:pPr>
      <w:r>
        <w:t>Regulatory Approvals</w:t>
      </w:r>
    </w:p>
    <w:p>
      <w:r>
        <w:rPr>
          <w:sz w:val="22"/>
        </w:rPr>
        <w:t>SEBI approval obtained for equity conversion. RBI NOC received for OTS (One-Time Settlement) with consortium banks. MCA filing done under Section 230.</w:t>
      </w:r>
    </w:p>
    <w:p/>
    <w:p>
      <w:pPr>
        <w:pStyle w:val="Heading2"/>
      </w:pPr>
      <w:r>
        <w:t>Legal Opinion on Restructuring</w:t>
      </w:r>
    </w:p>
    <w:p>
      <w:r>
        <w:rPr>
          <w:sz w:val="22"/>
        </w:rPr>
        <w:t>Senior counsel opines the proposed restructuring plan is compliant with IBC 2016, Companies Act 2013, and SEBI Regulations. No pending criminal liabilities on directors.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