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Plan</w:t>
      </w:r>
    </w:p>
    <w:p>
      <w:r>
        <w:t>Test Document — Empora Restructure Module</w:t>
        <w:br/>
        <w:t>Prepared for: ABC Corp Ltd  |  Date: 05-Mar-2025</w:t>
      </w:r>
    </w:p>
    <w:p/>
    <w:p>
      <w:pPr>
        <w:pStyle w:val="Heading2"/>
      </w:pPr>
      <w:r>
        <w:t>Debt Restructuring Plan</w:t>
      </w:r>
    </w:p>
    <w:p>
      <w:r>
        <w:rPr>
          <w:sz w:val="22"/>
        </w:rPr>
        <w:t>Total outstanding debt: ₹180 Cr. Proposed restructuring: ₹80 Cr converted to equity, ₹60 Cr extended to 7-year tenor at 8.5% p.a., ₹40 Cr one-time settlement.</w:t>
      </w:r>
    </w:p>
    <w:p/>
    <w:p>
      <w:pPr>
        <w:pStyle w:val="Heading2"/>
      </w:pPr>
      <w:r>
        <w:t>Revised P&amp;L Projections (FY25-27)</w:t>
      </w:r>
    </w:p>
    <w:p>
      <w:r>
        <w:rPr>
          <w:sz w:val="22"/>
        </w:rPr>
        <w:t>FY25: Revenue ₹95 Cr, EBITDA ₹12 Cr. FY26: Revenue ₹130 Cr, EBITDA ₹22 Cr. FY27: Revenue ₹175 Cr, EBITDA ₹36 Cr. PAT positive from FY26.</w:t>
      </w:r>
    </w:p>
    <w:p/>
    <w:p>
      <w:pPr>
        <w:pStyle w:val="Heading2"/>
      </w:pPr>
      <w:r>
        <w:t>Cash Flow Forecast</w:t>
      </w:r>
    </w:p>
    <w:p>
      <w:r>
        <w:rPr>
          <w:sz w:val="22"/>
        </w:rPr>
        <w:t>Operating cash flow FY25: ₹8 Cr. Working capital requirement reduced by ₹15 Cr through debtor collection tightening. Capex frozen at ₹5 Cr for FY25.</w:t>
      </w:r>
    </w:p>
    <w:p/>
    <w:p>
      <w:pPr>
        <w:pStyle w:val="Heading2"/>
      </w:pPr>
      <w:r>
        <w:t>Refinancing Proposal</w:t>
      </w:r>
    </w:p>
    <w:p>
      <w:r>
        <w:rPr>
          <w:sz w:val="22"/>
        </w:rPr>
        <w:t>Approached 3 PSU banks for term loan of ₹50 Cr at 9% p.a. for 5 years. Collateral: factory land &amp; building valued at ₹75 Cr.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