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Recovery Strategy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Business Revival Plan</w:t>
      </w:r>
    </w:p>
    <w:p>
      <w:r>
        <w:rPr>
          <w:sz w:val="22"/>
        </w:rPr>
        <w:t>Phase 1 (0-12 months): Stabilise operations, complete debt restructuring. Phase 2 (12-24 months): Launch 2 new product lines, enter export markets. Phase 3 (24-36 months): IPO readiness.</w:t>
      </w:r>
    </w:p>
    <w:p/>
    <w:p>
      <w:pPr>
        <w:pStyle w:val="Heading2"/>
      </w:pPr>
      <w:r>
        <w:t>Turnaround Strategy</w:t>
      </w:r>
    </w:p>
    <w:p>
      <w:r>
        <w:rPr>
          <w:sz w:val="22"/>
        </w:rPr>
        <w:t>Focus on 3 high-margin product verticals. Exit 2 loss-making business segments contributing only 8% revenue. Target EBITDA margin of 18% by FY27.</w:t>
      </w:r>
    </w:p>
    <w:p/>
    <w:p>
      <w:pPr>
        <w:pStyle w:val="Heading2"/>
      </w:pPr>
      <w:r>
        <w:t>New Business Model Canvas</w:t>
      </w:r>
    </w:p>
    <w:p>
      <w:r>
        <w:rPr>
          <w:sz w:val="22"/>
        </w:rPr>
        <w:t>Key Partners: 5 anchor clients (LOI signed). Revenue Streams: Product sales (70%), AMC/service contracts (30%). Cost Structure: Variable costs reduced to 58% of revenue.</w:t>
      </w:r>
    </w:p>
    <w:p/>
    <w:p>
      <w:pPr>
        <w:pStyle w:val="Heading2"/>
      </w:pPr>
      <w:r>
        <w:t>3-5 Year Post-Restructuring Roadmap</w:t>
      </w:r>
    </w:p>
    <w:p>
      <w:r>
        <w:rPr>
          <w:sz w:val="22"/>
        </w:rPr>
        <w:t>FY25: Break-even. FY26: PAT ₹8 Cr. FY27: PAT ₹18 Cr, debt-free. FY28: Explore strategic acquisition. FY29: IPO target at ₹500 Cr valuation.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