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80" w:after="120"/>
      </w:pPr>
      <w:r>
        <w:rPr>
          <w:b/>
          <w:bCs/>
          <w:color w:val="1A2755"/>
          <w:sz w:val="32"/>
          <w:szCs w:val="32"/>
        </w:rPr>
        <w:t xml:space="preserve">TechNova Solutions Pvt. Ltd. — Team Profile</w:t>
      </w:r>
    </w:p>
    <w:p>
      <w:pPr>
        <w:spacing w:after="100"/>
      </w:pPr>
      <w:r>
        <w:rPr>
          <w:sz w:val="22"/>
          <w:szCs w:val="22"/>
        </w:rPr>
        <w:t xml:space="preserve">Prepared for: Empora Due Diligence Platform | Module: Stratic | Slot: Team</w:t>
      </w:r>
    </w:p>
    <w:p>
      <w:pPr>
        <w:spacing w:after="100"/>
      </w:pPr>
      <w:r>
        <w:rPr>
          <w:sz w:val="22"/>
          <w:szCs w:val="22"/>
        </w:rPr>
        <w:t xml:space="preserve">Date: March 2025 | Confidential</w:t>
      </w:r>
    </w:p>
    <w:p>
      <w:pPr>
        <w:spacing w:before="120" w:after="120"/>
      </w:pPr>
      <w:r>
        <w:rPr>
          <w:color w:val="CBD5E1"/>
          <w:sz w:val="18"/>
          <w:szCs w:val="18"/>
        </w:rPr>
        <w:t xml:space="preserve">──────────────────────────────────────────────────────────────────────</w:t>
      </w:r>
    </w:p>
    <w:p>
      <w:pPr>
        <w:pStyle w:val="Heading2"/>
        <w:spacing w:before="200" w:after="100"/>
      </w:pPr>
      <w:r>
        <w:rPr>
          <w:b/>
          <w:bCs/>
          <w:color w:val="2563EB"/>
          <w:sz w:val="26"/>
          <w:szCs w:val="26"/>
        </w:rPr>
        <w:t xml:space="preserve">1. Company Overview</w:t>
      </w:r>
    </w:p>
    <w:p>
      <w:pPr>
        <w:spacing w:after="80"/>
      </w:pPr>
      <w:r>
        <w:rPr>
          <w:b/>
          <w:bCs/>
          <w:sz w:val="22"/>
          <w:szCs w:val="22"/>
        </w:rPr>
        <w:t xml:space="preserve">Company Name: </w:t>
      </w:r>
      <w:r>
        <w:rPr>
          <w:sz w:val="22"/>
          <w:szCs w:val="22"/>
        </w:rPr>
        <w:t xml:space="preserve">TechNova Solutions Pvt. Ltd.</w:t>
      </w:r>
    </w:p>
    <w:p>
      <w:pPr>
        <w:spacing w:after="80"/>
      </w:pPr>
      <w:r>
        <w:rPr>
          <w:b/>
          <w:bCs/>
          <w:sz w:val="22"/>
          <w:szCs w:val="22"/>
        </w:rPr>
        <w:t xml:space="preserve">Founded: </w:t>
      </w:r>
      <w:r>
        <w:rPr>
          <w:sz w:val="22"/>
          <w:szCs w:val="22"/>
        </w:rPr>
        <w:t xml:space="preserve">2019</w:t>
      </w:r>
    </w:p>
    <w:p>
      <w:pPr>
        <w:spacing w:after="80"/>
      </w:pPr>
      <w:r>
        <w:rPr>
          <w:b/>
          <w:bCs/>
          <w:sz w:val="22"/>
          <w:szCs w:val="22"/>
        </w:rPr>
        <w:t xml:space="preserve">Headquarters: </w:t>
      </w:r>
      <w:r>
        <w:rPr>
          <w:sz w:val="22"/>
          <w:szCs w:val="22"/>
        </w:rPr>
        <w:t xml:space="preserve">Bengaluru, Karnataka, India</w:t>
      </w:r>
    </w:p>
    <w:p>
      <w:pPr>
        <w:spacing w:after="80"/>
      </w:pPr>
      <w:r>
        <w:rPr>
          <w:b/>
          <w:bCs/>
          <w:sz w:val="22"/>
          <w:szCs w:val="22"/>
        </w:rPr>
        <w:t xml:space="preserve">Industry: </w:t>
      </w:r>
      <w:r>
        <w:rPr>
          <w:sz w:val="22"/>
          <w:szCs w:val="22"/>
        </w:rPr>
        <w:t xml:space="preserve">B2B SaaS — HR Technology</w:t>
      </w:r>
    </w:p>
    <w:p>
      <w:pPr>
        <w:spacing w:after="80"/>
      </w:pPr>
      <w:r>
        <w:rPr>
          <w:b/>
          <w:bCs/>
          <w:sz w:val="22"/>
          <w:szCs w:val="22"/>
        </w:rPr>
        <w:t xml:space="preserve">Employee Count: </w:t>
      </w:r>
      <w:r>
        <w:rPr>
          <w:sz w:val="22"/>
          <w:szCs w:val="22"/>
        </w:rPr>
        <w:t xml:space="preserve">87 full-time employees</w:t>
      </w:r>
    </w:p>
    <w:p>
      <w:pPr>
        <w:spacing w:after="80"/>
      </w:pPr>
      <w:r>
        <w:rPr>
          <w:b/>
          <w:bCs/>
          <w:sz w:val="22"/>
          <w:szCs w:val="22"/>
        </w:rPr>
        <w:t xml:space="preserve">Entity Type: </w:t>
      </w:r>
      <w:r>
        <w:rPr>
          <w:sz w:val="22"/>
          <w:szCs w:val="22"/>
        </w:rPr>
        <w:t xml:space="preserve">Private Limited Company</w:t>
      </w:r>
    </w:p>
    <w:p>
      <w:pPr>
        <w:spacing w:before="120" w:after="120"/>
      </w:pPr>
      <w:r>
        <w:rPr>
          <w:color w:val="CBD5E1"/>
          <w:sz w:val="18"/>
          <w:szCs w:val="18"/>
        </w:rPr>
        <w:t xml:space="preserve">──────────────────────────────────────────────────────────────────────</w:t>
      </w:r>
    </w:p>
    <w:p>
      <w:pPr>
        <w:pStyle w:val="Heading2"/>
        <w:spacing w:before="200" w:after="100"/>
      </w:pPr>
      <w:r>
        <w:rPr>
          <w:b/>
          <w:bCs/>
          <w:color w:val="2563EB"/>
          <w:sz w:val="26"/>
          <w:szCs w:val="26"/>
        </w:rPr>
        <w:t xml:space="preserve">2. Founding Team</w:t>
      </w:r>
    </w:p>
    <w:p>
      <w:pPr>
        <w:spacing w:before="160" w:after="80"/>
      </w:pPr>
      <w:r>
        <w:rPr>
          <w:b/>
          <w:bCs/>
          <w:color w:val="334155"/>
          <w:sz w:val="24"/>
          <w:szCs w:val="24"/>
        </w:rPr>
        <w:t xml:space="preserve">2.1 Arjun Mehta — Chief Executive Officer</w:t>
      </w:r>
    </w:p>
    <w:p>
      <w:pPr>
        <w:spacing w:after="80"/>
      </w:pPr>
      <w:r>
        <w:rPr>
          <w:b/>
          <w:bCs/>
          <w:sz w:val="22"/>
          <w:szCs w:val="22"/>
        </w:rPr>
        <w:t xml:space="preserve">Qualification: </w:t>
      </w:r>
      <w:r>
        <w:rPr>
          <w:sz w:val="22"/>
          <w:szCs w:val="22"/>
        </w:rPr>
        <w:t xml:space="preserve">B.Tech Computer Science, IIT Bombay (2012) | MBA Finance, IIM Ahmedabad (2014)</w:t>
      </w:r>
    </w:p>
    <w:p>
      <w:pPr>
        <w:spacing w:after="80"/>
      </w:pPr>
      <w:r>
        <w:rPr>
          <w:b/>
          <w:bCs/>
          <w:sz w:val="22"/>
          <w:szCs w:val="22"/>
        </w:rPr>
        <w:t xml:space="preserve">Experience: </w:t>
      </w:r>
      <w:r>
        <w:rPr>
          <w:sz w:val="22"/>
          <w:szCs w:val="22"/>
        </w:rPr>
        <w:t xml:space="preserve">11 years in product management and SaaS growth</w:t>
      </w:r>
    </w:p>
    <w:p>
      <w:pPr>
        <w:spacing w:after="100"/>
      </w:pPr>
      <w:r>
        <w:rPr>
          <w:sz w:val="22"/>
          <w:szCs w:val="22"/>
        </w:rPr>
        <w:t xml:space="preserve">Prior to founding TechNova, Arjun served as Director of Product at Razorpay (2016–2019) where he led the payments infrastructure team to 10x transaction volume growth. He also held roles at McKinsey &amp; Company as a business analyst focused on digital transformation in mid-market enterprises.</w:t>
      </w:r>
    </w:p>
    <w:p>
      <w:pPr>
        <w:pStyle w:val="ListParagraph"/>
        <w:numPr>
          <w:ilvl w:val="0"/>
          <w:numId w:val="2"/>
        </w:numPr>
        <w:spacing w:after="60"/>
      </w:pPr>
      <w:r>
        <w:rPr>
          <w:sz w:val="22"/>
          <w:szCs w:val="22"/>
        </w:rPr>
        <w:t xml:space="preserve">Led Series A fundraising of ₹42 crore in 2021</w:t>
      </w:r>
    </w:p>
    <w:p>
      <w:pPr>
        <w:pStyle w:val="ListParagraph"/>
        <w:numPr>
          <w:ilvl w:val="0"/>
          <w:numId w:val="2"/>
        </w:numPr>
        <w:spacing w:after="60"/>
      </w:pPr>
      <w:r>
        <w:rPr>
          <w:sz w:val="22"/>
          <w:szCs w:val="22"/>
        </w:rPr>
        <w:t xml:space="preserve">Speaker at TechSparks 2022 and SaaSBOOMi 2023</w:t>
      </w:r>
    </w:p>
    <w:p>
      <w:pPr>
        <w:pStyle w:val="ListParagraph"/>
        <w:numPr>
          <w:ilvl w:val="0"/>
          <w:numId w:val="2"/>
        </w:numPr>
        <w:spacing w:after="60"/>
      </w:pPr>
      <w:r>
        <w:rPr>
          <w:sz w:val="22"/>
          <w:szCs w:val="22"/>
        </w:rPr>
        <w:t xml:space="preserve">Board member: NASSCOM Startup Council</w:t>
      </w:r>
    </w:p>
    <w:p>
      <w:pPr>
        <w:spacing w:after="100"/>
      </w:pPr>
      <w:r>
        <w:rPr>
          <w:sz w:val="22"/>
          <w:szCs w:val="22"/>
        </w:rPr>
        <w:t xml:space="preserve"/>
      </w:r>
    </w:p>
    <w:p>
      <w:pPr>
        <w:spacing w:before="160" w:after="80"/>
      </w:pPr>
      <w:r>
        <w:rPr>
          <w:b/>
          <w:bCs/>
          <w:color w:val="334155"/>
          <w:sz w:val="24"/>
          <w:szCs w:val="24"/>
        </w:rPr>
        <w:t xml:space="preserve">2.2 Priya Sharma — Chief Technology Officer</w:t>
      </w:r>
    </w:p>
    <w:p>
      <w:pPr>
        <w:spacing w:after="80"/>
      </w:pPr>
      <w:r>
        <w:rPr>
          <w:b/>
          <w:bCs/>
          <w:sz w:val="22"/>
          <w:szCs w:val="22"/>
        </w:rPr>
        <w:t xml:space="preserve">Qualification: </w:t>
      </w:r>
      <w:r>
        <w:rPr>
          <w:sz w:val="22"/>
          <w:szCs w:val="22"/>
        </w:rPr>
        <w:t xml:space="preserve">M.Tech Computer Science, IISc Bangalore (2013)</w:t>
      </w:r>
    </w:p>
    <w:p>
      <w:pPr>
        <w:spacing w:after="80"/>
      </w:pPr>
      <w:r>
        <w:rPr>
          <w:b/>
          <w:bCs/>
          <w:sz w:val="22"/>
          <w:szCs w:val="22"/>
        </w:rPr>
        <w:t xml:space="preserve">Experience: </w:t>
      </w:r>
      <w:r>
        <w:rPr>
          <w:sz w:val="22"/>
          <w:szCs w:val="22"/>
        </w:rPr>
        <w:t xml:space="preserve">10 years in backend engineering and distributed systems</w:t>
      </w:r>
    </w:p>
    <w:p>
      <w:pPr>
        <w:spacing w:after="100"/>
      </w:pPr>
      <w:r>
        <w:rPr>
          <w:sz w:val="22"/>
          <w:szCs w:val="22"/>
        </w:rPr>
        <w:t xml:space="preserve">Priya was previously a Senior Engineering Manager at Freshworks (2015–2019), where she architected the microservices migration that reduced system downtime by 78%. She holds 3 patents in distributed caching systems and is a recognised contributor to Apache Kafka.</w:t>
      </w:r>
    </w:p>
    <w:p>
      <w:pPr>
        <w:pStyle w:val="ListParagraph"/>
        <w:numPr>
          <w:ilvl w:val="0"/>
          <w:numId w:val="2"/>
        </w:numPr>
        <w:spacing w:after="60"/>
      </w:pPr>
      <w:r>
        <w:rPr>
          <w:sz w:val="22"/>
          <w:szCs w:val="22"/>
        </w:rPr>
        <w:t xml:space="preserve">Built TechNova's core platform from 0 to 1.2M API calls/day</w:t>
      </w:r>
    </w:p>
    <w:p>
      <w:pPr>
        <w:pStyle w:val="ListParagraph"/>
        <w:numPr>
          <w:ilvl w:val="0"/>
          <w:numId w:val="2"/>
        </w:numPr>
        <w:spacing w:after="60"/>
      </w:pPr>
      <w:r>
        <w:rPr>
          <w:sz w:val="22"/>
          <w:szCs w:val="22"/>
        </w:rPr>
        <w:t xml:space="preserve">Mentors at Women in Tech India initiative</w:t>
      </w:r>
    </w:p>
    <w:p>
      <w:pPr>
        <w:pStyle w:val="ListParagraph"/>
        <w:numPr>
          <w:ilvl w:val="0"/>
          <w:numId w:val="2"/>
        </w:numPr>
        <w:spacing w:after="60"/>
      </w:pPr>
      <w:r>
        <w:rPr>
          <w:sz w:val="22"/>
          <w:szCs w:val="22"/>
        </w:rPr>
        <w:t xml:space="preserve">Open source contributor: 4,200+ GitHub stars across projects</w:t>
      </w:r>
    </w:p>
    <w:p>
      <w:pPr>
        <w:spacing w:after="100"/>
      </w:pPr>
      <w:r>
        <w:rPr>
          <w:sz w:val="22"/>
          <w:szCs w:val="22"/>
        </w:rPr>
        <w:t xml:space="preserve"/>
      </w:r>
    </w:p>
    <w:p>
      <w:pPr>
        <w:spacing w:before="160" w:after="80"/>
      </w:pPr>
      <w:r>
        <w:rPr>
          <w:b/>
          <w:bCs/>
          <w:color w:val="334155"/>
          <w:sz w:val="24"/>
          <w:szCs w:val="24"/>
        </w:rPr>
        <w:t xml:space="preserve">2.3 Vikram Nair — Chief Financial Officer</w:t>
      </w:r>
    </w:p>
    <w:p>
      <w:pPr>
        <w:spacing w:after="80"/>
      </w:pPr>
      <w:r>
        <w:rPr>
          <w:b/>
          <w:bCs/>
          <w:sz w:val="22"/>
          <w:szCs w:val="22"/>
        </w:rPr>
        <w:t xml:space="preserve">Qualification: </w:t>
      </w:r>
      <w:r>
        <w:rPr>
          <w:sz w:val="22"/>
          <w:szCs w:val="22"/>
        </w:rPr>
        <w:t xml:space="preserve">CA (ICAI, 2011) | CFA Level III</w:t>
      </w:r>
    </w:p>
    <w:p>
      <w:pPr>
        <w:spacing w:after="80"/>
      </w:pPr>
      <w:r>
        <w:rPr>
          <w:b/>
          <w:bCs/>
          <w:sz w:val="22"/>
          <w:szCs w:val="22"/>
        </w:rPr>
        <w:t xml:space="preserve">Experience: </w:t>
      </w:r>
      <w:r>
        <w:rPr>
          <w:sz w:val="22"/>
          <w:szCs w:val="22"/>
        </w:rPr>
        <w:t xml:space="preserve">14 years in financial planning, auditing, and startup CFO roles</w:t>
      </w:r>
    </w:p>
    <w:p>
      <w:pPr>
        <w:spacing w:after="100"/>
      </w:pPr>
      <w:r>
        <w:rPr>
          <w:sz w:val="22"/>
          <w:szCs w:val="22"/>
        </w:rPr>
        <w:t xml:space="preserve">Vikram previously served as VP Finance at OYO Rooms (2016–2020), overseeing financial controls for their India operations during rapid expansion. He has managed books for companies through two fundraising rounds and one partial acquisition process.</w:t>
      </w:r>
    </w:p>
    <w:p>
      <w:pPr>
        <w:pStyle w:val="ListParagraph"/>
        <w:numPr>
          <w:ilvl w:val="0"/>
          <w:numId w:val="2"/>
        </w:numPr>
        <w:spacing w:after="60"/>
      </w:pPr>
      <w:r>
        <w:rPr>
          <w:sz w:val="22"/>
          <w:szCs w:val="22"/>
        </w:rPr>
        <w:t xml:space="preserve">Manages ₹85 crore+ in annual revenue reporting</w:t>
      </w:r>
    </w:p>
    <w:p>
      <w:pPr>
        <w:pStyle w:val="ListParagraph"/>
        <w:numPr>
          <w:ilvl w:val="0"/>
          <w:numId w:val="2"/>
        </w:numPr>
        <w:spacing w:after="60"/>
      </w:pPr>
      <w:r>
        <w:rPr>
          <w:sz w:val="22"/>
          <w:szCs w:val="22"/>
        </w:rPr>
        <w:t xml:space="preserve">Implemented zero-based budgeting across all departments</w:t>
      </w:r>
    </w:p>
    <w:p>
      <w:pPr>
        <w:pStyle w:val="ListParagraph"/>
        <w:numPr>
          <w:ilvl w:val="0"/>
          <w:numId w:val="2"/>
        </w:numPr>
        <w:spacing w:after="60"/>
      </w:pPr>
      <w:r>
        <w:rPr>
          <w:sz w:val="22"/>
          <w:szCs w:val="22"/>
        </w:rPr>
        <w:t xml:space="preserve">Key liaison with Big Four auditors (Deloitte)</w:t>
      </w:r>
    </w:p>
    <w:p>
      <w:pPr>
        <w:spacing w:before="120" w:after="120"/>
      </w:pPr>
      <w:r>
        <w:rPr>
          <w:color w:val="CBD5E1"/>
          <w:sz w:val="18"/>
          <w:szCs w:val="18"/>
        </w:rPr>
        <w:t xml:space="preserve">──────────────────────────────────────────────────────────────────────</w:t>
      </w:r>
    </w:p>
    <w:p>
      <w:pPr>
        <w:pStyle w:val="Heading2"/>
        <w:spacing w:before="200" w:after="100"/>
      </w:pPr>
      <w:r>
        <w:rPr>
          <w:b/>
          <w:bCs/>
          <w:color w:val="2563EB"/>
          <w:sz w:val="26"/>
          <w:szCs w:val="26"/>
        </w:rPr>
        <w:t xml:space="preserve">3. Leadership Team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000"/>
            <w:shd w:fill="1A2755" w:val="clear"/>
            <w:vAlign w:val="center"/>
          </w:tcPr>
          <w:p>
            <w:pPr>
              <w:spacing w:after="0"/>
            </w:pPr>
            <w:r>
              <w:rPr>
                <w:b/>
                <w:bCs/>
                <w:color w:val="FFFFFF"/>
                <w:sz w:val="20"/>
                <w:szCs w:val="20"/>
              </w:rPr>
              <w:t xml:space="preserve">Name</w:t>
            </w:r>
          </w:p>
        </w:tc>
        <w:tc>
          <w:tcPr>
            <w:tcW w:type="dxa" w:w="2200"/>
            <w:shd w:fill="1A2755" w:val="clear"/>
            <w:vAlign w:val="center"/>
          </w:tcPr>
          <w:p>
            <w:pPr>
              <w:spacing w:after="0"/>
            </w:pPr>
            <w:r>
              <w:rPr>
                <w:b/>
                <w:bCs/>
                <w:color w:val="FFFFFF"/>
                <w:sz w:val="20"/>
                <w:szCs w:val="20"/>
              </w:rPr>
              <w:t xml:space="preserve">Designation</w:t>
            </w:r>
          </w:p>
        </w:tc>
        <w:tc>
          <w:tcPr>
            <w:tcW w:type="dxa" w:w="2200"/>
            <w:shd w:fill="1A2755" w:val="clear"/>
            <w:vAlign w:val="center"/>
          </w:tcPr>
          <w:p>
            <w:pPr>
              <w:spacing w:after="0"/>
            </w:pPr>
            <w:r>
              <w:rPr>
                <w:b/>
                <w:bCs/>
                <w:color w:val="FFFFFF"/>
                <w:sz w:val="20"/>
                <w:szCs w:val="20"/>
              </w:rPr>
              <w:t xml:space="preserve">Department</w:t>
            </w:r>
          </w:p>
        </w:tc>
        <w:tc>
          <w:tcPr>
            <w:tcW w:type="dxa" w:w="2200"/>
            <w:shd w:fill="1A2755" w:val="clear"/>
            <w:vAlign w:val="center"/>
          </w:tcPr>
          <w:p>
            <w:pPr>
              <w:spacing w:after="0"/>
            </w:pPr>
            <w:r>
              <w:rPr>
                <w:b/>
                <w:bCs/>
                <w:color w:val="FFFFFF"/>
                <w:sz w:val="20"/>
                <w:szCs w:val="20"/>
              </w:rPr>
              <w:t xml:space="preserve">Years at Company</w:t>
            </w:r>
          </w:p>
        </w:tc>
      </w:tr>
      <w:tr>
        <w:trPr>
          <w:tblHeader w:val="false"/>
        </w:trPr>
        <w:tc>
          <w:tcPr>
            <w:tcW w:type="dxa" w:w="3000"/>
            <w:vAlign w:val="center"/>
          </w:tcPr>
          <w:p>
            <w:pPr>
              <w:spacing w:after="0"/>
            </w:pPr>
            <w:r>
              <w:rPr>
                <w:b w:val="false"/>
                <w:bCs w:val="false"/>
                <w:color w:val="1E293B"/>
                <w:sz w:val="20"/>
                <w:szCs w:val="20"/>
              </w:rPr>
              <w:t xml:space="preserve">Anjali Rao</w:t>
            </w:r>
          </w:p>
        </w:tc>
        <w:tc>
          <w:tcPr>
            <w:tcW w:type="dxa" w:w="2200"/>
            <w:vAlign w:val="center"/>
          </w:tcPr>
          <w:p>
            <w:pPr>
              <w:spacing w:after="0"/>
            </w:pPr>
            <w:r>
              <w:rPr>
                <w:b w:val="false"/>
                <w:bCs w:val="false"/>
                <w:color w:val="1E293B"/>
                <w:sz w:val="20"/>
                <w:szCs w:val="20"/>
              </w:rPr>
              <w:t xml:space="preserve">VP Engineering</w:t>
            </w:r>
          </w:p>
        </w:tc>
        <w:tc>
          <w:tcPr>
            <w:tcW w:type="dxa" w:w="2200"/>
            <w:vAlign w:val="center"/>
          </w:tcPr>
          <w:p>
            <w:pPr>
              <w:spacing w:after="0"/>
            </w:pPr>
            <w:r>
              <w:rPr>
                <w:b w:val="false"/>
                <w:bCs w:val="false"/>
                <w:color w:val="1E293B"/>
                <w:sz w:val="20"/>
                <w:szCs w:val="20"/>
              </w:rPr>
              <w:t xml:space="preserve">Technology</w:t>
            </w:r>
          </w:p>
        </w:tc>
        <w:tc>
          <w:tcPr>
            <w:tcW w:type="dxa" w:w="2200"/>
            <w:vAlign w:val="center"/>
          </w:tcPr>
          <w:p>
            <w:pPr>
              <w:spacing w:after="0"/>
            </w:pPr>
            <w:r>
              <w:rPr>
                <w:b w:val="false"/>
                <w:bCs w:val="false"/>
                <w:color w:val="1E293B"/>
                <w:sz w:val="20"/>
                <w:szCs w:val="20"/>
              </w:rPr>
              <w:t xml:space="preserve">4 years</w:t>
            </w:r>
          </w:p>
        </w:tc>
      </w:tr>
      <w:tr>
        <w:trPr>
          <w:tblHeader w:val="false"/>
        </w:trPr>
        <w:tc>
          <w:tcPr>
            <w:tcW w:type="dxa" w:w="3000"/>
            <w:vAlign w:val="center"/>
          </w:tcPr>
          <w:p>
            <w:pPr>
              <w:spacing w:after="0"/>
            </w:pPr>
            <w:r>
              <w:rPr>
                <w:b w:val="false"/>
                <w:bCs w:val="false"/>
                <w:color w:val="1E293B"/>
                <w:sz w:val="20"/>
                <w:szCs w:val="20"/>
              </w:rPr>
              <w:t xml:space="preserve">Ravi Krishnan</w:t>
            </w:r>
          </w:p>
        </w:tc>
        <w:tc>
          <w:tcPr>
            <w:tcW w:type="dxa" w:w="2200"/>
            <w:vAlign w:val="center"/>
          </w:tcPr>
          <w:p>
            <w:pPr>
              <w:spacing w:after="0"/>
            </w:pPr>
            <w:r>
              <w:rPr>
                <w:b w:val="false"/>
                <w:bCs w:val="false"/>
                <w:color w:val="1E293B"/>
                <w:sz w:val="20"/>
                <w:szCs w:val="20"/>
              </w:rPr>
              <w:t xml:space="preserve">VP Sales</w:t>
            </w:r>
          </w:p>
        </w:tc>
        <w:tc>
          <w:tcPr>
            <w:tcW w:type="dxa" w:w="2200"/>
            <w:vAlign w:val="center"/>
          </w:tcPr>
          <w:p>
            <w:pPr>
              <w:spacing w:after="0"/>
            </w:pPr>
            <w:r>
              <w:rPr>
                <w:b w:val="false"/>
                <w:bCs w:val="false"/>
                <w:color w:val="1E293B"/>
                <w:sz w:val="20"/>
                <w:szCs w:val="20"/>
              </w:rPr>
              <w:t xml:space="preserve">Revenue</w:t>
            </w:r>
          </w:p>
        </w:tc>
        <w:tc>
          <w:tcPr>
            <w:tcW w:type="dxa" w:w="2200"/>
            <w:vAlign w:val="center"/>
          </w:tcPr>
          <w:p>
            <w:pPr>
              <w:spacing w:after="0"/>
            </w:pPr>
            <w:r>
              <w:rPr>
                <w:b w:val="false"/>
                <w:bCs w:val="false"/>
                <w:color w:val="1E293B"/>
                <w:sz w:val="20"/>
                <w:szCs w:val="20"/>
              </w:rPr>
              <w:t xml:space="preserve">3 years</w:t>
            </w:r>
          </w:p>
        </w:tc>
      </w:tr>
      <w:tr>
        <w:trPr>
          <w:tblHeader w:val="false"/>
        </w:trPr>
        <w:tc>
          <w:tcPr>
            <w:tcW w:type="dxa" w:w="3000"/>
            <w:vAlign w:val="center"/>
          </w:tcPr>
          <w:p>
            <w:pPr>
              <w:spacing w:after="0"/>
            </w:pPr>
            <w:r>
              <w:rPr>
                <w:b w:val="false"/>
                <w:bCs w:val="false"/>
                <w:color w:val="1E293B"/>
                <w:sz w:val="20"/>
                <w:szCs w:val="20"/>
              </w:rPr>
              <w:t xml:space="preserve">Sneha Patel</w:t>
            </w:r>
          </w:p>
        </w:tc>
        <w:tc>
          <w:tcPr>
            <w:tcW w:type="dxa" w:w="2200"/>
            <w:vAlign w:val="center"/>
          </w:tcPr>
          <w:p>
            <w:pPr>
              <w:spacing w:after="0"/>
            </w:pPr>
            <w:r>
              <w:rPr>
                <w:b w:val="false"/>
                <w:bCs w:val="false"/>
                <w:color w:val="1E293B"/>
                <w:sz w:val="20"/>
                <w:szCs w:val="20"/>
              </w:rPr>
              <w:t xml:space="preserve">Head of Marketing</w:t>
            </w:r>
          </w:p>
        </w:tc>
        <w:tc>
          <w:tcPr>
            <w:tcW w:type="dxa" w:w="2200"/>
            <w:vAlign w:val="center"/>
          </w:tcPr>
          <w:p>
            <w:pPr>
              <w:spacing w:after="0"/>
            </w:pPr>
            <w:r>
              <w:rPr>
                <w:b w:val="false"/>
                <w:bCs w:val="false"/>
                <w:color w:val="1E293B"/>
                <w:sz w:val="20"/>
                <w:szCs w:val="20"/>
              </w:rPr>
              <w:t xml:space="preserve">Growth</w:t>
            </w:r>
          </w:p>
        </w:tc>
        <w:tc>
          <w:tcPr>
            <w:tcW w:type="dxa" w:w="2200"/>
            <w:vAlign w:val="center"/>
          </w:tcPr>
          <w:p>
            <w:pPr>
              <w:spacing w:after="0"/>
            </w:pPr>
            <w:r>
              <w:rPr>
                <w:b w:val="false"/>
                <w:bCs w:val="false"/>
                <w:color w:val="1E293B"/>
                <w:sz w:val="20"/>
                <w:szCs w:val="20"/>
              </w:rPr>
              <w:t xml:space="preserve">3 years</w:t>
            </w:r>
          </w:p>
        </w:tc>
      </w:tr>
      <w:tr>
        <w:trPr>
          <w:tblHeader w:val="false"/>
        </w:trPr>
        <w:tc>
          <w:tcPr>
            <w:tcW w:type="dxa" w:w="3000"/>
            <w:vAlign w:val="center"/>
          </w:tcPr>
          <w:p>
            <w:pPr>
              <w:spacing w:after="0"/>
            </w:pPr>
            <w:r>
              <w:rPr>
                <w:b w:val="false"/>
                <w:bCs w:val="false"/>
                <w:color w:val="1E293B"/>
                <w:sz w:val="20"/>
                <w:szCs w:val="20"/>
              </w:rPr>
              <w:t xml:space="preserve">Deepak Joshi</w:t>
            </w:r>
          </w:p>
        </w:tc>
        <w:tc>
          <w:tcPr>
            <w:tcW w:type="dxa" w:w="2200"/>
            <w:vAlign w:val="center"/>
          </w:tcPr>
          <w:p>
            <w:pPr>
              <w:spacing w:after="0"/>
            </w:pPr>
            <w:r>
              <w:rPr>
                <w:b w:val="false"/>
                <w:bCs w:val="false"/>
                <w:color w:val="1E293B"/>
                <w:sz w:val="20"/>
                <w:szCs w:val="20"/>
              </w:rPr>
              <w:t xml:space="preserve">Head of Customer Success</w:t>
            </w:r>
          </w:p>
        </w:tc>
        <w:tc>
          <w:tcPr>
            <w:tcW w:type="dxa" w:w="2200"/>
            <w:vAlign w:val="center"/>
          </w:tcPr>
          <w:p>
            <w:pPr>
              <w:spacing w:after="0"/>
            </w:pPr>
            <w:r>
              <w:rPr>
                <w:b w:val="false"/>
                <w:bCs w:val="false"/>
                <w:color w:val="1E293B"/>
                <w:sz w:val="20"/>
                <w:szCs w:val="20"/>
              </w:rPr>
              <w:t xml:space="preserve">Operations</w:t>
            </w:r>
          </w:p>
        </w:tc>
        <w:tc>
          <w:tcPr>
            <w:tcW w:type="dxa" w:w="2200"/>
            <w:vAlign w:val="center"/>
          </w:tcPr>
          <w:p>
            <w:pPr>
              <w:spacing w:after="0"/>
            </w:pPr>
            <w:r>
              <w:rPr>
                <w:b w:val="false"/>
                <w:bCs w:val="false"/>
                <w:color w:val="1E293B"/>
                <w:sz w:val="20"/>
                <w:szCs w:val="20"/>
              </w:rPr>
              <w:t xml:space="preserve">5 years</w:t>
            </w:r>
          </w:p>
        </w:tc>
      </w:tr>
      <w:tr>
        <w:trPr>
          <w:tblHeader w:val="false"/>
        </w:trPr>
        <w:tc>
          <w:tcPr>
            <w:tcW w:type="dxa" w:w="3000"/>
            <w:vAlign w:val="center"/>
          </w:tcPr>
          <w:p>
            <w:pPr>
              <w:spacing w:after="0"/>
            </w:pPr>
            <w:r>
              <w:rPr>
                <w:b w:val="false"/>
                <w:bCs w:val="false"/>
                <w:color w:val="1E293B"/>
                <w:sz w:val="20"/>
                <w:szCs w:val="20"/>
              </w:rPr>
              <w:t xml:space="preserve">Lakshmi Iyer</w:t>
            </w:r>
          </w:p>
        </w:tc>
        <w:tc>
          <w:tcPr>
            <w:tcW w:type="dxa" w:w="2200"/>
            <w:vAlign w:val="center"/>
          </w:tcPr>
          <w:p>
            <w:pPr>
              <w:spacing w:after="0"/>
            </w:pPr>
            <w:r>
              <w:rPr>
                <w:b w:val="false"/>
                <w:bCs w:val="false"/>
                <w:color w:val="1E293B"/>
                <w:sz w:val="20"/>
                <w:szCs w:val="20"/>
              </w:rPr>
              <w:t xml:space="preserve">Head of HR</w:t>
            </w:r>
          </w:p>
        </w:tc>
        <w:tc>
          <w:tcPr>
            <w:tcW w:type="dxa" w:w="2200"/>
            <w:vAlign w:val="center"/>
          </w:tcPr>
          <w:p>
            <w:pPr>
              <w:spacing w:after="0"/>
            </w:pPr>
            <w:r>
              <w:rPr>
                <w:b w:val="false"/>
                <w:bCs w:val="false"/>
                <w:color w:val="1E293B"/>
                <w:sz w:val="20"/>
                <w:szCs w:val="20"/>
              </w:rPr>
              <w:t xml:space="preserve">People</w:t>
            </w:r>
          </w:p>
        </w:tc>
        <w:tc>
          <w:tcPr>
            <w:tcW w:type="dxa" w:w="2200"/>
            <w:vAlign w:val="center"/>
          </w:tcPr>
          <w:p>
            <w:pPr>
              <w:spacing w:after="0"/>
            </w:pPr>
            <w:r>
              <w:rPr>
                <w:b w:val="false"/>
                <w:bCs w:val="false"/>
                <w:color w:val="1E293B"/>
                <w:sz w:val="20"/>
                <w:szCs w:val="20"/>
              </w:rPr>
              <w:t xml:space="preserve">2 years</w:t>
            </w:r>
          </w:p>
        </w:tc>
      </w:tr>
      <w:tr>
        <w:trPr>
          <w:tblHeader w:val="false"/>
        </w:trPr>
        <w:tc>
          <w:tcPr>
            <w:tcW w:type="dxa" w:w="3000"/>
            <w:vAlign w:val="center"/>
          </w:tcPr>
          <w:p>
            <w:pPr>
              <w:spacing w:after="0"/>
            </w:pPr>
            <w:r>
              <w:rPr>
                <w:b w:val="false"/>
                <w:bCs w:val="false"/>
                <w:color w:val="1E293B"/>
                <w:sz w:val="20"/>
                <w:szCs w:val="20"/>
              </w:rPr>
              <w:t xml:space="preserve">Saurabh Gupta</w:t>
            </w:r>
          </w:p>
        </w:tc>
        <w:tc>
          <w:tcPr>
            <w:tcW w:type="dxa" w:w="2200"/>
            <w:vAlign w:val="center"/>
          </w:tcPr>
          <w:p>
            <w:pPr>
              <w:spacing w:after="0"/>
            </w:pPr>
            <w:r>
              <w:rPr>
                <w:b w:val="false"/>
                <w:bCs w:val="false"/>
                <w:color w:val="1E293B"/>
                <w:sz w:val="20"/>
                <w:szCs w:val="20"/>
              </w:rPr>
              <w:t xml:space="preserve">Lead Data Scientist</w:t>
            </w:r>
          </w:p>
        </w:tc>
        <w:tc>
          <w:tcPr>
            <w:tcW w:type="dxa" w:w="2200"/>
            <w:vAlign w:val="center"/>
          </w:tcPr>
          <w:p>
            <w:pPr>
              <w:spacing w:after="0"/>
            </w:pPr>
            <w:r>
              <w:rPr>
                <w:b w:val="false"/>
                <w:bCs w:val="false"/>
                <w:color w:val="1E293B"/>
                <w:sz w:val="20"/>
                <w:szCs w:val="20"/>
              </w:rPr>
              <w:t xml:space="preserve">AI/ML</w:t>
            </w:r>
          </w:p>
        </w:tc>
        <w:tc>
          <w:tcPr>
            <w:tcW w:type="dxa" w:w="2200"/>
            <w:vAlign w:val="center"/>
          </w:tcPr>
          <w:p>
            <w:pPr>
              <w:spacing w:after="0"/>
            </w:pPr>
            <w:r>
              <w:rPr>
                <w:b w:val="false"/>
                <w:bCs w:val="false"/>
                <w:color w:val="1E293B"/>
                <w:sz w:val="20"/>
                <w:szCs w:val="20"/>
              </w:rPr>
              <w:t xml:space="preserve">2 years</w:t>
            </w:r>
          </w:p>
        </w:tc>
      </w:tr>
    </w:tbl>
    <w:p>
      <w:pPr>
        <w:spacing w:after="100"/>
      </w:pPr>
      <w:r>
        <w:rPr>
          <w:sz w:val="22"/>
          <w:szCs w:val="22"/>
        </w:rPr>
        <w:t xml:space="preserve"/>
      </w:r>
    </w:p>
    <w:p>
      <w:pPr>
        <w:spacing w:before="120" w:after="120"/>
      </w:pPr>
      <w:r>
        <w:rPr>
          <w:color w:val="CBD5E1"/>
          <w:sz w:val="18"/>
          <w:szCs w:val="18"/>
        </w:rPr>
        <w:t xml:space="preserve">──────────────────────────────────────────────────────────────────────</w:t>
      </w:r>
    </w:p>
    <w:p>
      <w:pPr>
        <w:pStyle w:val="Heading2"/>
        <w:spacing w:before="200" w:after="100"/>
      </w:pPr>
      <w:r>
        <w:rPr>
          <w:b/>
          <w:bCs/>
          <w:color w:val="2563EB"/>
          <w:sz w:val="26"/>
          <w:szCs w:val="26"/>
        </w:rPr>
        <w:t xml:space="preserve">4. Team Composition &amp; Hiring</w:t>
      </w:r>
    </w:p>
    <w:p>
      <w:pPr>
        <w:spacing w:after="80"/>
      </w:pPr>
      <w:r>
        <w:rPr>
          <w:b/>
          <w:bCs/>
          <w:sz w:val="22"/>
          <w:szCs w:val="22"/>
        </w:rPr>
        <w:t xml:space="preserve">Total Headcount: </w:t>
      </w:r>
      <w:r>
        <w:rPr>
          <w:sz w:val="22"/>
          <w:szCs w:val="22"/>
        </w:rPr>
        <w:t xml:space="preserve">87 employees (as of March 2025)</w:t>
      </w:r>
    </w:p>
    <w:p>
      <w:pPr>
        <w:spacing w:after="80"/>
      </w:pPr>
      <w:r>
        <w:rPr>
          <w:b/>
          <w:bCs/>
          <w:sz w:val="22"/>
          <w:szCs w:val="22"/>
        </w:rPr>
        <w:t xml:space="preserve">Engineering: </w:t>
      </w:r>
      <w:r>
        <w:rPr>
          <w:sz w:val="22"/>
          <w:szCs w:val="22"/>
        </w:rPr>
        <w:t xml:space="preserve">42 engineers (48% of workforce)</w:t>
      </w:r>
    </w:p>
    <w:p>
      <w:pPr>
        <w:spacing w:after="80"/>
      </w:pPr>
      <w:r>
        <w:rPr>
          <w:b/>
          <w:bCs/>
          <w:sz w:val="22"/>
          <w:szCs w:val="22"/>
        </w:rPr>
        <w:t xml:space="preserve">Sales &amp; Marketing: </w:t>
      </w:r>
      <w:r>
        <w:rPr>
          <w:sz w:val="22"/>
          <w:szCs w:val="22"/>
        </w:rPr>
        <w:t xml:space="preserve">18 employees</w:t>
      </w:r>
    </w:p>
    <w:p>
      <w:pPr>
        <w:spacing w:after="80"/>
      </w:pPr>
      <w:r>
        <w:rPr>
          <w:b/>
          <w:bCs/>
          <w:sz w:val="22"/>
          <w:szCs w:val="22"/>
        </w:rPr>
        <w:t xml:space="preserve">Customer Success: </w:t>
      </w:r>
      <w:r>
        <w:rPr>
          <w:sz w:val="22"/>
          <w:szCs w:val="22"/>
        </w:rPr>
        <w:t xml:space="preserve">12 employees</w:t>
      </w:r>
    </w:p>
    <w:p>
      <w:pPr>
        <w:spacing w:after="80"/>
      </w:pPr>
      <w:r>
        <w:rPr>
          <w:b/>
          <w:bCs/>
          <w:sz w:val="22"/>
          <w:szCs w:val="22"/>
        </w:rPr>
        <w:t xml:space="preserve">Finance &amp; Admin: </w:t>
      </w:r>
      <w:r>
        <w:rPr>
          <w:sz w:val="22"/>
          <w:szCs w:val="22"/>
        </w:rPr>
        <w:t xml:space="preserve">8 employees</w:t>
      </w:r>
    </w:p>
    <w:p>
      <w:pPr>
        <w:spacing w:after="80"/>
      </w:pPr>
      <w:r>
        <w:rPr>
          <w:b/>
          <w:bCs/>
          <w:sz w:val="22"/>
          <w:szCs w:val="22"/>
        </w:rPr>
        <w:t xml:space="preserve">HR &amp; Talent: </w:t>
      </w:r>
      <w:r>
        <w:rPr>
          <w:sz w:val="22"/>
          <w:szCs w:val="22"/>
        </w:rPr>
        <w:t xml:space="preserve">7 employees</w:t>
      </w:r>
    </w:p>
    <w:p>
      <w:pPr>
        <w:spacing w:after="100"/>
      </w:pPr>
      <w:r>
        <w:rPr>
          <w:sz w:val="22"/>
          <w:szCs w:val="22"/>
        </w:rPr>
        <w:t xml:space="preserve"/>
      </w:r>
    </w:p>
    <w:p>
      <w:pPr>
        <w:spacing w:after="100"/>
      </w:pPr>
      <w:r>
        <w:rPr>
          <w:sz w:val="22"/>
          <w:szCs w:val="22"/>
        </w:rPr>
        <w:t xml:space="preserve">TechNova follows a remote-first hybrid model with physical offices in Bengaluru and Mumbai. The company maintains a strong engineering culture and an average NPS score among employees of 71.</w:t>
      </w:r>
    </w:p>
    <w:p>
      <w:pPr>
        <w:pStyle w:val="ListParagraph"/>
        <w:numPr>
          <w:ilvl w:val="0"/>
          <w:numId w:val="2"/>
        </w:numPr>
        <w:spacing w:after="60"/>
      </w:pPr>
      <w:r>
        <w:rPr>
          <w:sz w:val="22"/>
          <w:szCs w:val="22"/>
        </w:rPr>
        <w:t xml:space="preserve">Average tenure: 2.8 years</w:t>
      </w:r>
    </w:p>
    <w:p>
      <w:pPr>
        <w:pStyle w:val="ListParagraph"/>
        <w:numPr>
          <w:ilvl w:val="0"/>
          <w:numId w:val="2"/>
        </w:numPr>
        <w:spacing w:after="60"/>
      </w:pPr>
      <w:r>
        <w:rPr>
          <w:sz w:val="22"/>
          <w:szCs w:val="22"/>
        </w:rPr>
        <w:t xml:space="preserve">Attrition rate (FY2024): 11.4% (below industry average of 18%)</w:t>
      </w:r>
    </w:p>
    <w:p>
      <w:pPr>
        <w:pStyle w:val="ListParagraph"/>
        <w:numPr>
          <w:ilvl w:val="0"/>
          <w:numId w:val="2"/>
        </w:numPr>
        <w:spacing w:after="60"/>
      </w:pPr>
      <w:r>
        <w:rPr>
          <w:sz w:val="22"/>
          <w:szCs w:val="22"/>
        </w:rPr>
        <w:t xml:space="preserve">Gender diversity: 38% women across all departments</w:t>
      </w:r>
    </w:p>
    <w:p>
      <w:pPr>
        <w:pStyle w:val="ListParagraph"/>
        <w:numPr>
          <w:ilvl w:val="0"/>
          <w:numId w:val="2"/>
        </w:numPr>
        <w:spacing w:after="60"/>
      </w:pPr>
      <w:r>
        <w:rPr>
          <w:sz w:val="22"/>
          <w:szCs w:val="22"/>
        </w:rPr>
        <w:t xml:space="preserve">Planned hiring FY2025: 25 additional engineers, 5 sales reps</w:t>
      </w:r>
    </w:p>
    <w:p>
      <w:pPr>
        <w:spacing w:before="120" w:after="120"/>
      </w:pPr>
      <w:r>
        <w:rPr>
          <w:color w:val="CBD5E1"/>
          <w:sz w:val="18"/>
          <w:szCs w:val="18"/>
        </w:rPr>
        <w:t xml:space="preserve">──────────────────────────────────────────────────────────────────────</w:t>
      </w:r>
    </w:p>
    <w:p>
      <w:pPr>
        <w:pStyle w:val="Heading2"/>
        <w:spacing w:before="200" w:after="100"/>
      </w:pPr>
      <w:r>
        <w:rPr>
          <w:b/>
          <w:bCs/>
          <w:color w:val="2563EB"/>
          <w:sz w:val="26"/>
          <w:szCs w:val="26"/>
        </w:rPr>
        <w:t xml:space="preserve">5. Advisory Board</w:t>
      </w:r>
    </w:p>
    <w:p>
      <w:pPr>
        <w:pStyle w:val="ListParagraph"/>
        <w:numPr>
          <w:ilvl w:val="0"/>
          <w:numId w:val="2"/>
        </w:numPr>
        <w:spacing w:after="60"/>
      </w:pPr>
      <w:r>
        <w:rPr>
          <w:sz w:val="22"/>
          <w:szCs w:val="22"/>
        </w:rPr>
        <w:t xml:space="preserve">Dr. Samir Bose — Ex-CTO, Infosys BPM | AI &amp; ML Strategy Advisor</w:t>
      </w:r>
    </w:p>
    <w:p>
      <w:pPr>
        <w:pStyle w:val="ListParagraph"/>
        <w:numPr>
          <w:ilvl w:val="0"/>
          <w:numId w:val="2"/>
        </w:numPr>
        <w:spacing w:after="60"/>
      </w:pPr>
      <w:r>
        <w:rPr>
          <w:sz w:val="22"/>
          <w:szCs w:val="22"/>
        </w:rPr>
        <w:t xml:space="preserve">Ananya Krishnamurthy — Partner, Sequoia Capital India | Growth Advisory</w:t>
      </w:r>
    </w:p>
    <w:p>
      <w:pPr>
        <w:pStyle w:val="ListParagraph"/>
        <w:numPr>
          <w:ilvl w:val="0"/>
          <w:numId w:val="2"/>
        </w:numPr>
        <w:spacing w:after="60"/>
      </w:pPr>
      <w:r>
        <w:rPr>
          <w:sz w:val="22"/>
          <w:szCs w:val="22"/>
        </w:rPr>
        <w:t xml:space="preserve">Prof. Rajesh Iyer — Faculty, IIM Calcutta | Operations &amp; Scaling Advisor</w:t>
      </w:r>
    </w:p>
    <w:p>
      <w:pPr>
        <w:pStyle w:val="ListParagraph"/>
        <w:numPr>
          <w:ilvl w:val="0"/>
          <w:numId w:val="2"/>
        </w:numPr>
        <w:spacing w:after="60"/>
      </w:pPr>
      <w:r>
        <w:rPr>
          <w:sz w:val="22"/>
          <w:szCs w:val="22"/>
        </w:rPr>
        <w:t xml:space="preserve">Kiran Mazumdar-Shaw — Industry Mentor (informal advisory)</w:t>
      </w:r>
    </w:p>
    <w:p>
      <w:pPr>
        <w:spacing w:before="120" w:after="120"/>
      </w:pPr>
      <w:r>
        <w:rPr>
          <w:color w:val="CBD5E1"/>
          <w:sz w:val="18"/>
          <w:szCs w:val="18"/>
        </w:rPr>
        <w:t xml:space="preserve">──────────────────────────────────────────────────────────────────────</w:t>
      </w:r>
    </w:p>
    <w:p>
      <w:pPr>
        <w:pStyle w:val="Heading2"/>
        <w:spacing w:before="200" w:after="100"/>
      </w:pPr>
      <w:r>
        <w:rPr>
          <w:b/>
          <w:bCs/>
          <w:color w:val="2563EB"/>
          <w:sz w:val="26"/>
          <w:szCs w:val="26"/>
        </w:rPr>
        <w:t xml:space="preserve">6. Culture &amp; Values</w:t>
      </w:r>
    </w:p>
    <w:p>
      <w:pPr>
        <w:spacing w:after="100"/>
      </w:pPr>
      <w:r>
        <w:rPr>
          <w:sz w:val="22"/>
          <w:szCs w:val="22"/>
        </w:rPr>
        <w:t xml:space="preserve">TechNova operates on four core values: Ownership, Transparency, Customer Obsession, and Continuous Learning. These values are built into performance reviews, team OKRs, and the hiring process.</w:t>
      </w:r>
    </w:p>
    <w:p>
      <w:pPr>
        <w:pStyle w:val="ListParagraph"/>
        <w:numPr>
          <w:ilvl w:val="0"/>
          <w:numId w:val="2"/>
        </w:numPr>
        <w:spacing w:after="60"/>
      </w:pPr>
      <w:r>
        <w:rPr>
          <w:sz w:val="22"/>
          <w:szCs w:val="22"/>
        </w:rPr>
        <w:t xml:space="preserve">Quarterly all-hands with AMA sessions for all employees</w:t>
      </w:r>
    </w:p>
    <w:p>
      <w:pPr>
        <w:pStyle w:val="ListParagraph"/>
        <w:numPr>
          <w:ilvl w:val="0"/>
          <w:numId w:val="2"/>
        </w:numPr>
        <w:spacing w:after="60"/>
      </w:pPr>
      <w:r>
        <w:rPr>
          <w:sz w:val="22"/>
          <w:szCs w:val="22"/>
        </w:rPr>
        <w:t xml:space="preserve">Learning budget of ₹30,000/employee/year</w:t>
      </w:r>
    </w:p>
    <w:p>
      <w:pPr>
        <w:pStyle w:val="ListParagraph"/>
        <w:numPr>
          <w:ilvl w:val="0"/>
          <w:numId w:val="2"/>
        </w:numPr>
        <w:spacing w:after="60"/>
      </w:pPr>
      <w:r>
        <w:rPr>
          <w:sz w:val="22"/>
          <w:szCs w:val="22"/>
        </w:rPr>
        <w:t xml:space="preserve">Internal mobility programme: 6 internal transfers in FY2024</w:t>
      </w:r>
    </w:p>
    <w:p>
      <w:pPr>
        <w:pStyle w:val="ListParagraph"/>
        <w:numPr>
          <w:ilvl w:val="0"/>
          <w:numId w:val="2"/>
        </w:numPr>
        <w:spacing w:after="60"/>
      </w:pPr>
      <w:r>
        <w:rPr>
          <w:sz w:val="22"/>
          <w:szCs w:val="22"/>
        </w:rPr>
        <w:t xml:space="preserve">Zero tolerance policy on harassment — 2 reported, 2 resolved in FY2024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2026-03-07T06:24:05.737Z</dcterms:created>
  <dcterms:modified xsi:type="dcterms:W3CDTF">2026-03-07T06:24:05.738Z</dcterms:modified>
</cp:coreProperties>
</file>

<file path=docProps/custom.xml><?xml version="1.0" encoding="utf-8"?>
<Properties xmlns="http://schemas.openxmlformats.org/officeDocument/2006/custom-properties" xmlns:vt="http://schemas.openxmlformats.org/officeDocument/2006/docPropsVTypes"/>
</file>