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0" w:after="120"/>
      </w:pPr>
      <w:r>
        <w:rPr>
          <w:b/>
          <w:bCs/>
          <w:color w:val="1A2755"/>
          <w:sz w:val="32"/>
          <w:szCs w:val="32"/>
        </w:rPr>
        <w:t xml:space="preserve">TechNova Solutions — Business Development Report</w:t>
      </w:r>
    </w:p>
    <w:p>
      <w:pPr>
        <w:spacing w:after="100"/>
      </w:pPr>
      <w:r>
        <w:rPr>
          <w:sz w:val="22"/>
          <w:szCs w:val="22"/>
        </w:rPr>
        <w:t xml:space="preserve">Module: Stratic | Slot: Business Development | FY2024–FY2025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1. Business Model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Model Type: </w:t>
      </w:r>
      <w:r>
        <w:rPr>
          <w:sz w:val="22"/>
          <w:szCs w:val="22"/>
        </w:rPr>
        <w:t xml:space="preserve">B2B SaaS (Subscription-based)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Pricing Tiers: </w:t>
      </w:r>
      <w:r>
        <w:rPr>
          <w:sz w:val="22"/>
          <w:szCs w:val="22"/>
        </w:rPr>
        <w:t xml:space="preserve">Starter ₹8,000/mo · Growth ₹22,000/mo · Enterprise custom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Average Contract Value: </w:t>
      </w:r>
      <w:r>
        <w:rPr>
          <w:sz w:val="22"/>
          <w:szCs w:val="22"/>
        </w:rPr>
        <w:t xml:space="preserve">₹3.2 lakhs/year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Revenue Recognition: </w:t>
      </w:r>
      <w:r>
        <w:rPr>
          <w:sz w:val="22"/>
          <w:szCs w:val="22"/>
        </w:rPr>
        <w:t xml:space="preserve">Monthly recurring, annual prepay option</w:t>
      </w:r>
    </w:p>
    <w:p>
      <w:pPr>
        <w:spacing w:after="100"/>
      </w:pPr>
      <w:r>
        <w:rPr>
          <w:sz w:val="22"/>
          <w:szCs w:val="22"/>
        </w:rPr>
        <w:t xml:space="preserve">TechNova operates a product-led growth (PLG) model where customers can self-onboard via a 14-day free trial, which is then converted by inside sales for Growth and Enterprise tiers.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2. Revenue Performance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FY2022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FY2023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FY2024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ARR (₹ crore)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8.2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19.6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38.4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MRR (₹ crore)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0.68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1.63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3.20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Total Customers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142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367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712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New Logos (year)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89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225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345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Churn Rate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7.4%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6.1%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5.2%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NRR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108%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114%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121%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3. Market &amp; Segments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Primary Market: </w:t>
      </w:r>
      <w:r>
        <w:rPr>
          <w:sz w:val="22"/>
          <w:szCs w:val="22"/>
        </w:rPr>
        <w:t xml:space="preserve">Indian mid-market companies (200–2,000 employees)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TAM: </w:t>
      </w:r>
      <w:r>
        <w:rPr>
          <w:sz w:val="22"/>
          <w:szCs w:val="22"/>
        </w:rPr>
        <w:t xml:space="preserve">₹4,200 crore (India HR Tech market 2024)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SAM: </w:t>
      </w:r>
      <w:r>
        <w:rPr>
          <w:sz w:val="22"/>
          <w:szCs w:val="22"/>
        </w:rPr>
        <w:t xml:space="preserve">₹820 crore (companies using digital HR tools)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SOM: </w:t>
      </w:r>
      <w:r>
        <w:rPr>
          <w:sz w:val="22"/>
          <w:szCs w:val="22"/>
        </w:rPr>
        <w:t xml:space="preserve">₹95 crore (realistic 3-year target)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3.1 Customer Segments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Segment 1: IT/ITES companies — 48% of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Segment 2: E-commerce &amp; D2C brands — 22% of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Segment 3: BFSI companies — 18% of revenue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Segment 4: Manufacturing &amp; Logistics — 12% of revenue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4. Sales Channels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4.1 Direct Sales</w:t>
      </w:r>
    </w:p>
    <w:p>
      <w:pPr>
        <w:spacing w:after="100"/>
      </w:pPr>
      <w:r>
        <w:rPr>
          <w:sz w:val="22"/>
          <w:szCs w:val="22"/>
        </w:rPr>
        <w:t xml:space="preserve">Inside sales team of 12 SDRs and 6 AEs manages inbound and outbound pipeline. Average sales cycle is 28 days for SMB and 74 days for enterprise.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4.2 Partner Channel</w:t>
      </w:r>
    </w:p>
    <w:p>
      <w:pPr>
        <w:spacing w:after="100"/>
      </w:pPr>
      <w:r>
        <w:rPr>
          <w:sz w:val="22"/>
          <w:szCs w:val="22"/>
        </w:rPr>
        <w:t xml:space="preserve">Active channel partnerships with 14 HR consulting firms, 3 payroll software vendors, and 2 ERP integrators. Channel partners contributed 31% of new ARR in FY2024.</w:t>
      </w:r>
    </w:p>
    <w:p>
      <w:pPr>
        <w:spacing w:before="160" w:after="80"/>
      </w:pPr>
      <w:r>
        <w:rPr>
          <w:b/>
          <w:bCs/>
          <w:color w:val="334155"/>
          <w:sz w:val="24"/>
          <w:szCs w:val="24"/>
        </w:rPr>
        <w:t xml:space="preserve">4.3 Product-Led Growth</w:t>
      </w:r>
    </w:p>
    <w:p>
      <w:pPr>
        <w:spacing w:after="100"/>
      </w:pPr>
      <w:r>
        <w:rPr>
          <w:sz w:val="22"/>
          <w:szCs w:val="22"/>
        </w:rPr>
        <w:t xml:space="preserve">14-day free trial with full feature access. Trial-to-paid conversion rate: 22%. Average time to first value: 3 days.</w:t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5. Key Clients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ACV (₹ lakhs)</w:t>
            </w:r>
          </w:p>
        </w:tc>
        <w:tc>
          <w:tcPr>
            <w:tcW w:type="dxa" w:w="2200"/>
            <w:shd w:fill="1A2755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Since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Wipro Limited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IT/ITES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18.4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2021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Meesho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E-commerce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12.6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2022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HDFC Securities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BFSI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9.8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2022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BlueDart Express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Logistics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7.2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2023</w:t>
            </w:r>
          </w:p>
        </w:tc>
      </w:tr>
      <w:tr>
        <w:trPr>
          <w:tblHeader w:val="false"/>
        </w:trPr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Byju's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EdTech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6.4</w:t>
            </w:r>
          </w:p>
        </w:tc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2023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before="120" w:after="120"/>
      </w:pPr>
      <w:r>
        <w:rPr>
          <w:color w:val="CBD5E1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rPr>
          <w:b/>
          <w:bCs/>
          <w:color w:val="2563EB"/>
          <w:sz w:val="26"/>
          <w:szCs w:val="26"/>
        </w:rPr>
        <w:t xml:space="preserve">6. Growth Strategy FY2025–FY2026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Expand to Southeast Asia (Singapore, Malaysia) — Q3 FY2025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Launch AI-powered performance review module — Q1 FY2025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integrations with SAP SuccessFactors and Workday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Target 1,200 total customers by end FY2025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Raise Series B of ₹120 crore to fund expansion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2026-03-07T06:24:05.907Z</dcterms:created>
  <dcterms:modified xsi:type="dcterms:W3CDTF">2026-03-07T06:24:05.907Z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