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Strategic Risk Assessment</w:t>
      </w:r>
    </w:p>
    <w:p>
      <w:pPr>
        <w:spacing w:after="100"/>
      </w:pPr>
      <w:r>
        <w:rPr>
          <w:sz w:val="22"/>
          <w:szCs w:val="22"/>
        </w:rPr>
        <w:t xml:space="preserve">Module: Stratic | Slot: Risk | Prepared by: Risk Committee | March 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1. Risk Framework Overview</w:t>
      </w:r>
    </w:p>
    <w:p>
      <w:pPr>
        <w:spacing w:after="100"/>
      </w:pPr>
      <w:r>
        <w:rPr>
          <w:sz w:val="22"/>
          <w:szCs w:val="22"/>
        </w:rPr>
        <w:t xml:space="preserve">TechNova uses a 5×5 risk matrix (Likelihood × Impact) to assess and prioritise strategic risks. Risks are reviewed quarterly by the Risk Committee comprising the CEO, CFO, CTO, and external advisor.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Risk Appetite: </w:t>
      </w:r>
      <w:r>
        <w:rPr>
          <w:sz w:val="22"/>
          <w:szCs w:val="22"/>
        </w:rPr>
        <w:t xml:space="preserve">Medium — willing to accept operational and market risks for growth; low tolerance for regulatory and data security risks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2. Strategic Risk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Market saturation in Tier 1 cities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VP Sales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Expand to Tier 2 cities and SEA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Key person dependency (CTO)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Very 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CEO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Knowledge transfer, succession plan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Data breach / PDPB non-compliance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Regulatory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ISO 27001 certification in progress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Competitor price war (Darwinbox)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Competitive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VP Sales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Differentiate on AI features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Churn spike post-funding gap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Financial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CFO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18-month runway maintained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Talent attrition in engineering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HR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CHRO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ESOPs, learning budget, retention bonus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3. Competitive Risk Analysis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3.1 Primary Competitors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Darwinbox — Well-funded (Series D), strong enterprise penetration, limited SMB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GreytHR — Dominant in payroll, weak on performance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Zoho People — Low-price competitor, limited customisation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Workday (India) — Enterprise only, &gt;2,000 employee focus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3.2 TechNova Competitive Advantages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analytics that competitors lack at mid-market price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Faster onboarding: 3 days vs industry average of 3 weeks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 HRMS + payroll integration (single platform)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Superior customer success: NPS of 71 vs industry ~45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4. Financial Risk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Runway: </w:t>
      </w:r>
      <w:r>
        <w:rPr>
          <w:sz w:val="22"/>
          <w:szCs w:val="22"/>
        </w:rPr>
        <w:t xml:space="preserve">18.4 months (as of March 2025)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Burn Rate: </w:t>
      </w:r>
      <w:r>
        <w:rPr>
          <w:sz w:val="22"/>
          <w:szCs w:val="22"/>
        </w:rPr>
        <w:t xml:space="preserve">₹1.8 crore/month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Cash Reserves: </w:t>
      </w:r>
      <w:r>
        <w:rPr>
          <w:sz w:val="22"/>
          <w:szCs w:val="22"/>
        </w:rPr>
        <w:t xml:space="preserve">₹33.1 crore</w:t>
      </w:r>
    </w:p>
    <w:p>
      <w:pPr>
        <w:spacing w:after="100"/>
      </w:pPr>
      <w:r>
        <w:rPr>
          <w:sz w:val="22"/>
          <w:szCs w:val="22"/>
        </w:rPr>
        <w:t xml:space="preserve">TechNova has initiated Series B fundraising. The company has a committed bridge from existing investor Elevation Capital (₹15 crore) to cover operations until Series B closes (expected Q2 FY2025).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Sensitivity: 10% churn increase = ₹3.84 crore ARR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Break-even projected at ARR of ₹58 crore (expected Q3 FY2025)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5. Regulatory &amp; Compliance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India's Digital Personal Data Protection Act (DPDPA) — compliance roadmap complete, implementation Q1 FY2025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Labour code compliance — all four codes monitored for amendments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GST compliance — monthly filing, no outstanding dues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ISO 27001 certification — audit scheduled June 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6. Risk Mitigation Summary</w:t>
      </w:r>
    </w:p>
    <w:p>
      <w:pPr>
        <w:spacing w:after="100"/>
      </w:pPr>
      <w:r>
        <w:rPr>
          <w:sz w:val="22"/>
          <w:szCs w:val="22"/>
        </w:rPr>
        <w:t xml:space="preserve">Overall risk posture: MEDIUM. The company has adequate controls for financial and compliance risks. The primary unmitigated risk remains competitive pressure from well-funded players. Management is focused on deepening product differentiation to address this.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2026-03-07T06:24:06.002Z</dcterms:created>
  <dcterms:modified xsi:type="dcterms:W3CDTF">2026-03-07T06:24:06.002Z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