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Corporate Policy Framework</w:t>
      </w:r>
    </w:p>
    <w:p>
      <w:pPr>
        <w:spacing w:after="100"/>
      </w:pPr>
      <w:r>
        <w:rPr>
          <w:sz w:val="22"/>
          <w:szCs w:val="22"/>
        </w:rPr>
        <w:t xml:space="preserve">Module: Stratic | Slot: Policy | Version 3.1 | Effective: January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Data Privacy &amp; Security Policy</w:t>
      </w:r>
    </w:p>
    <w:p>
      <w:pPr>
        <w:spacing w:after="100"/>
      </w:pPr>
      <w:r>
        <w:rPr>
          <w:sz w:val="22"/>
          <w:szCs w:val="22"/>
        </w:rPr>
        <w:t xml:space="preserve">TechNova is committed to protecting personal data in compliance with India's Digital Personal Data Protection Act (DPDPA) 2023, IT Act 2000, and international frameworks including GDPR for EU-based clients.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Key Provisions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collected: Employee PII, payroll data, performance records, attendance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minimisation: Only collect data necessary for contracted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Retention: Employee data retained for 7 years post-contract; deleted on request beyond statutory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Encryption: AES-256 at rest, TLS 1.3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control: Role-based access; MFA mandatory for all admin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Breach notification: Clients notified within 72 hours of confirmed breach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Anti-Corruption &amp; Code of Conduct</w:t>
      </w:r>
    </w:p>
    <w:p>
      <w:pPr>
        <w:spacing w:after="100"/>
      </w:pPr>
      <w:r>
        <w:rPr>
          <w:sz w:val="22"/>
          <w:szCs w:val="22"/>
        </w:rPr>
        <w:t xml:space="preserve">TechNova follows a zero-tolerance policy for bribery, corruption, and fraudulent activity, consistent with the Prevention of Corruption Act 1988 (India).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gifts or entertainment exceeding ₹2,000 in value may be accepted from vendors or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contracts above ₹10 lakhs require dual approval (business unit head + CFO)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Whistleblower policy: Anonymous reporting via ethics@technova.in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code of conduct training mandatory for all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Third-party due diligence required for all new vendors above ₹5 lakhs/year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3. HR &amp; Employment Policy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Working Hours: </w:t>
      </w:r>
      <w:r>
        <w:rPr>
          <w:sz w:val="22"/>
          <w:szCs w:val="22"/>
        </w:rPr>
        <w:t xml:space="preserve">Flexible — core hours 10AM–5PM 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Leave Entitlement: </w:t>
      </w:r>
      <w:r>
        <w:rPr>
          <w:sz w:val="22"/>
          <w:szCs w:val="22"/>
        </w:rPr>
        <w:t xml:space="preserve">18 days EL + 12 days SL + 12 days CL per year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Maternity Leave: </w:t>
      </w:r>
      <w:r>
        <w:rPr>
          <w:sz w:val="22"/>
          <w:szCs w:val="22"/>
        </w:rPr>
        <w:t xml:space="preserve">26 weeks (as per Maternity Benefit Amendment Act 2017)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Paternity Leave: </w:t>
      </w:r>
      <w:r>
        <w:rPr>
          <w:sz w:val="22"/>
          <w:szCs w:val="22"/>
        </w:rPr>
        <w:t xml:space="preserve">10 days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ESOP Policy: </w:t>
      </w:r>
      <w:r>
        <w:rPr>
          <w:sz w:val="22"/>
          <w:szCs w:val="22"/>
        </w:rPr>
        <w:t xml:space="preserve">Cliff: 1 year, vesting: 4 years (25% annually)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Equal Opportunity &amp; Non-Discrimination</w:t>
      </w:r>
    </w:p>
    <w:p>
      <w:pPr>
        <w:spacing w:after="100"/>
      </w:pPr>
      <w:r>
        <w:rPr>
          <w:sz w:val="22"/>
          <w:szCs w:val="22"/>
        </w:rPr>
        <w:t xml:space="preserve">TechNova prohibits discrimination based on gender, religion, caste, disability, sexual orientation, or marital status in all employment decisions including hiring, promotions, and compensation.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4. Environmental &amp; Sustainability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Paperless operations: 98% digital documentation as of FY2024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Carbon-neutral commitment: using AWS Graviton chips (40% more energy efficient)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 sustainability: LED lighting, no single-use plastics in offices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Remote-first model reduces commute carbon footprint by est. 340 tCO2e/year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ESG report published starting FY2025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5. Intellectual Property Policy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IP Ownership: </w:t>
      </w:r>
      <w:r>
        <w:rPr>
          <w:sz w:val="22"/>
          <w:szCs w:val="22"/>
        </w:rPr>
        <w:t xml:space="preserve">All IP created by employees during employment is owned by TechNova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IP Agreements: </w:t>
      </w:r>
      <w:r>
        <w:rPr>
          <w:sz w:val="22"/>
          <w:szCs w:val="22"/>
        </w:rPr>
        <w:t xml:space="preserve">All employees sign IP assignment agreement on joining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Open Source Usage: </w:t>
      </w:r>
      <w:r>
        <w:rPr>
          <w:sz w:val="22"/>
          <w:szCs w:val="22"/>
        </w:rPr>
        <w:t xml:space="preserve">MIT and Apache 2.0 licenses permitted; GPL requires CTO approval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Trade Secrets: </w:t>
      </w:r>
      <w:r>
        <w:rPr>
          <w:sz w:val="22"/>
          <w:szCs w:val="22"/>
        </w:rPr>
        <w:t xml:space="preserve">Source code, algorithms, and customer data are classified as trade secrets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6. Conflicts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Employees must disclose any personal financial interest in vendors or 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 must recuse from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conflict of interest declaration required from all senior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Violations subject to disciplinary action up to and including termination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2026-03-07T06:24:06.117Z</dcterms:created>
  <dcterms:modified xsi:type="dcterms:W3CDTF">2026-03-07T06:24:06.117Z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