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Key Commercial Contracts Register</w:t>
      </w:r>
    </w:p>
    <w:p>
      <w:pPr>
        <w:spacing w:after="100"/>
      </w:pPr>
      <w:r>
        <w:rPr>
          <w:sz w:val="22"/>
          <w:szCs w:val="22"/>
        </w:rPr>
        <w:t xml:space="preserve">Module: Land &amp; Legal | Slot: Contracts | FY2024–25 | Prepared by: Legal Team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1. Customer Agreements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1.1 Master Subscription Agreement (MSA) — Standard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Document Type: </w:t>
      </w:r>
      <w:r>
        <w:rPr>
          <w:sz w:val="22"/>
          <w:szCs w:val="22"/>
        </w:rPr>
        <w:t xml:space="preserve">SaaS Master Subscription Agreement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Governing Law: </w:t>
      </w:r>
      <w:r>
        <w:rPr>
          <w:sz w:val="22"/>
          <w:szCs w:val="22"/>
        </w:rPr>
        <w:t xml:space="preserve">Laws of India — jurisdiction: courts at Bengaluru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Liability Cap: </w:t>
      </w:r>
      <w:r>
        <w:rPr>
          <w:sz w:val="22"/>
          <w:szCs w:val="22"/>
        </w:rPr>
        <w:t xml:space="preserve">Limited to 12 months' subscription fees paid by customer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IP Ownership: </w:t>
      </w:r>
      <w:r>
        <w:rPr>
          <w:sz w:val="22"/>
          <w:szCs w:val="22"/>
        </w:rPr>
        <w:t xml:space="preserve">TechNova retains all IP; customer receives limited licence to use the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 Processing: </w:t>
      </w:r>
      <w:r>
        <w:rPr>
          <w:sz w:val="22"/>
          <w:szCs w:val="22"/>
        </w:rPr>
        <w:t xml:space="preserve">DPA (Data Processing Agreement) annexed — DPDPA and GDPR compliant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Auto-renewal: </w:t>
      </w:r>
      <w:r>
        <w:rPr>
          <w:sz w:val="22"/>
          <w:szCs w:val="22"/>
        </w:rPr>
        <w:t xml:space="preserve">Annual contracts auto-renew with 30-day cancellation notice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Indemnification: </w:t>
      </w:r>
      <w:r>
        <w:rPr>
          <w:sz w:val="22"/>
          <w:szCs w:val="22"/>
        </w:rPr>
        <w:t xml:space="preserve">Customer indemnifies for content uploaded; TechNova indemnifies for IP infringement of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SLA: </w:t>
      </w:r>
      <w:r>
        <w:rPr>
          <w:sz w:val="22"/>
          <w:szCs w:val="22"/>
        </w:rPr>
        <w:t xml:space="preserve">99.9% uptime; service credits of up to 10% monthly fee for downtime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Termination for Cause: </w:t>
      </w:r>
      <w:r>
        <w:rPr>
          <w:sz w:val="22"/>
          <w:szCs w:val="22"/>
        </w:rPr>
        <w:t xml:space="preserve">Either party — 30 days' notice with cure period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Agreements Executed: </w:t>
      </w:r>
      <w:r>
        <w:rPr>
          <w:sz w:val="22"/>
          <w:szCs w:val="22"/>
        </w:rPr>
        <w:t xml:space="preserve">712 customer MSAs as at March 2025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1.2 Enterprise Agreements — Key Terms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ACV (₹ lakh)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Renewal Date</w:t>
            </w:r>
          </w:p>
        </w:tc>
        <w:tc>
          <w:tcPr>
            <w:tcW w:type="dxa" w:w="32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 Clauses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Wipro Limited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18.4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years (2022–2025)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Jun 2025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Source code escrow; data localisation KA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Meesho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12.6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years (2023–2025)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Sep 2025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Enhanced SLA 99.95%; dedicated support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Securities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9.8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years (2022–2025)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Aug 2025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RBI cloud outsourcing compliance; SOC 2 required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BlueDart Express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7.2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years (2023–2025)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Nov 2025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integration SLA; quarterly reviews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2. Vendor &amp; Supplier Agreements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20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(₹ / year)</w:t>
            </w:r>
          </w:p>
        </w:tc>
        <w:tc>
          <w:tcPr>
            <w:tcW w:type="dxa" w:w="1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4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  <w:tc>
          <w:tcPr>
            <w:tcW w:type="dxa" w:w="2600"/>
            <w:shd w:fill="7C2D1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Term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Amazon Web Services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 Discount Agreement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1,84,00,000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year (auto-renew)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Credits &amp; committed spend discount 12%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Razorpay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 Gateway Agreement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 transaction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On-going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 days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PCI-DSS compliant; dispute resolution 7 days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Twilio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Messaging Services Agreement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year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TRAI DLT compliance; data stored India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Freshdesk (Freshworks)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year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Migration assistance clause included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Deloitte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 &amp; Tax Services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engagement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90 days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Independence provisions; conflict check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AZB &amp; Partners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Legal Retainer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retainer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Retainer + hourly billing above 40hrs/month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Securitas India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Security Services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14,40,000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year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 days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Background verification of all personnel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3. Employee-Related Agreements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Employment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87 employees have signed standard Employment Agreements on joining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Agreements include: IP assignment, non-disclosure, non-solicitation (12 months post-exit)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Non-compete clauses: included for senior management (VP and above) — enforceability limited under Indian law but serves as deterrent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Notice period: 30 days (junior), 60 days (mid), 90 days (senior management)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3.2 ESOP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ESOP Plan 2020 — Board approved; 87 option holders; 4-year vesting, 1-year cliff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Exercise price: ₹45/share (set at FMV at grant date as per merchant banker 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ESOP grant letters issued to all eligible employees — acknowledged and signed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7C2D12"/>
          <w:sz w:val="26"/>
          <w:szCs w:val="26"/>
        </w:rPr>
        <w:t xml:space="preserve">4. Investor &amp; Shareholder Agreements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4.1 Shareholders' Agreement (SHA)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Parties: </w:t>
      </w:r>
      <w:r>
        <w:rPr>
          <w:sz w:val="22"/>
          <w:szCs w:val="22"/>
        </w:rPr>
        <w:t xml:space="preserve">Founders (3) · Elevation Capital · Beenext · Angel Investors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Amended and restated SHA — 12 March 2021 (post-Series 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Rights: </w:t>
      </w:r>
      <w:r>
        <w:rPr>
          <w:sz w:val="22"/>
          <w:szCs w:val="22"/>
        </w:rPr>
        <w:t xml:space="preserve">Elevation Capital: Board seat, information rights, pro-rata rights, anti-dilution (broad-based WA)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Drag-along: </w:t>
      </w:r>
      <w:r>
        <w:rPr>
          <w:sz w:val="22"/>
          <w:szCs w:val="22"/>
        </w:rPr>
        <w:t xml:space="preserve">Triggered if &gt;75% equity holders vote for exit — applicable to all shareholders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Tag-along: </w:t>
      </w:r>
      <w:r>
        <w:rPr>
          <w:sz w:val="22"/>
          <w:szCs w:val="22"/>
        </w:rPr>
        <w:t xml:space="preserve">Investors can co-sell pro-rata if founders sell &gt;10% of their holding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Right of First Refusal: </w:t>
      </w:r>
      <w:r>
        <w:rPr>
          <w:sz w:val="22"/>
          <w:szCs w:val="22"/>
        </w:rPr>
        <w:t xml:space="preserve">Any secondary transfer requires ROFR to existing investors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Liquidation Preference: </w:t>
      </w:r>
      <w:r>
        <w:rPr>
          <w:sz w:val="22"/>
          <w:szCs w:val="22"/>
        </w:rPr>
        <w:t xml:space="preserve">1× non-participating for Series A investors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Governing Law: </w:t>
      </w:r>
      <w:r>
        <w:rPr>
          <w:sz w:val="22"/>
          <w:szCs w:val="22"/>
        </w:rPr>
        <w:t xml:space="preserve">Laws of India — arbitration under SIAC Rules — seat: Singapore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2026-03-07T06:45:07.125Z</dcterms:created>
  <dcterms:modified xsi:type="dcterms:W3CDTF">2026-03-07T06:45:07.125Z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