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0" w:after="120"/>
      </w:pPr>
      <w:r>
        <w:rPr>
          <w:b/>
          <w:bCs/>
          <w:color w:val="1A2755"/>
          <w:sz w:val="32"/>
          <w:szCs w:val="32"/>
        </w:rPr>
        <w:t xml:space="preserve">TechNova Solutions — Title &amp; Lease Documentation Summary</w:t>
      </w:r>
    </w:p>
    <w:p>
      <w:pPr>
        <w:spacing w:after="100"/>
      </w:pPr>
      <w:r>
        <w:rPr>
          <w:sz w:val="22"/>
          <w:szCs w:val="22"/>
        </w:rPr>
        <w:t xml:space="preserve">Module: Land &amp; Legal | Slot: Title | Prepared by: Legal Team | March 2025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7C2D12"/>
          <w:sz w:val="26"/>
          <w:szCs w:val="26"/>
        </w:rPr>
        <w:t xml:space="preserve">1. Status of Title Documents</w:t>
      </w:r>
    </w:p>
    <w:p>
      <w:pPr>
        <w:spacing w:after="100"/>
      </w:pPr>
      <w:r>
        <w:rPr>
          <w:sz w:val="22"/>
          <w:szCs w:val="22"/>
        </w:rPr>
        <w:t xml:space="preserve">As TechNova holds no freehold property, title documentation refers to the validity, registration, and encumbrance status of all lease agreements and the title standing of lessors.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Lessor Title Status</w:t>
            </w:r>
          </w:p>
        </w:tc>
        <w:tc>
          <w:tcPr>
            <w:tcW w:type="dxa" w:w="20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Lease Registered</w:t>
            </w:r>
          </w:p>
        </w:tc>
        <w:tc>
          <w:tcPr>
            <w:tcW w:type="dxa" w:w="20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Encumbrance Check</w:t>
            </w:r>
          </w:p>
        </w:tc>
        <w:tc>
          <w:tcPr>
            <w:tcW w:type="dxa" w:w="18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Verified By</w:t>
            </w:r>
          </w:p>
        </w:tc>
      </w:tr>
      <w:tr>
        <w:trPr>
          <w:tblHeader w:val="fals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Prestige Tech Park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Clear freehold title — verified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 — registered 2021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NIL encumbrance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AZB &amp; Partners</w:t>
            </w:r>
          </w:p>
        </w:tc>
      </w:tr>
      <w:tr>
        <w:trPr>
          <w:tblHeader w:val="fals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WeWork Galaxy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Managed asset — WeWork India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Not required (MO)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Internal Legal</w:t>
            </w:r>
          </w:p>
        </w:tc>
      </w:tr>
      <w:tr>
        <w:trPr>
          <w:tblHeader w:val="fals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Godrej BKC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Clear freehold title — verified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 — registered 2022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NIL encumbrance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AZB &amp; Partners</w:t>
            </w:r>
          </w:p>
        </w:tc>
      </w:tr>
      <w:tr>
        <w:trPr>
          <w:tblHeader w:val="fals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STT GDC Co-lo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Data centre owner — STT GDC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Service agreement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Internal Legal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7C2D12"/>
          <w:sz w:val="26"/>
          <w:szCs w:val="26"/>
        </w:rPr>
        <w:t xml:space="preserve">2. Prestige Tech Park — Lease Agreement Key Terms</w:t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2.1 Parties &amp; Property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Lessor: </w:t>
      </w:r>
      <w:r>
        <w:rPr>
          <w:sz w:val="22"/>
          <w:szCs w:val="22"/>
        </w:rPr>
        <w:t xml:space="preserve">Prestige Estates Projects Limited (CIN: L45200KA1997PLC022981)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Lessee: </w:t>
      </w:r>
      <w:r>
        <w:rPr>
          <w:sz w:val="22"/>
          <w:szCs w:val="22"/>
        </w:rPr>
        <w:t xml:space="preserve">TechNova Solutions Private Limited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Property: </w:t>
      </w:r>
      <w:r>
        <w:rPr>
          <w:sz w:val="22"/>
          <w:szCs w:val="22"/>
        </w:rPr>
        <w:t xml:space="preserve">Unit No. B-401 to B-412, Tower B, Prestige Tech Park, Bengaluru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Lease Period: </w:t>
      </w:r>
      <w:r>
        <w:rPr>
          <w:sz w:val="22"/>
          <w:szCs w:val="22"/>
        </w:rPr>
        <w:t xml:space="preserve">6 years (1 April 2021 to 31 March 2027)</w:t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2.2 Financial Terms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Base Rent: </w:t>
      </w:r>
      <w:r>
        <w:rPr>
          <w:sz w:val="22"/>
          <w:szCs w:val="22"/>
        </w:rPr>
        <w:t xml:space="preserve">₹150/sq. ft./month (12,200 sq. ft. = ₹18,30,000/month)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Maintenance Charges: </w:t>
      </w:r>
      <w:r>
        <w:rPr>
          <w:sz w:val="22"/>
          <w:szCs w:val="22"/>
        </w:rPr>
        <w:t xml:space="preserve">₹22/sq. ft./month = ₹2,68,400/month (billed separately)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Escalation: </w:t>
      </w:r>
      <w:r>
        <w:rPr>
          <w:sz w:val="22"/>
          <w:szCs w:val="22"/>
        </w:rPr>
        <w:t xml:space="preserve">5% per annum from Year 3 (effective April 2023 onwards)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Security Deposit: </w:t>
      </w:r>
      <w:r>
        <w:rPr>
          <w:sz w:val="22"/>
          <w:szCs w:val="22"/>
        </w:rPr>
        <w:t xml:space="preserve">₹1,09,80,000 — deposited April 2021 — refundable at exit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Fit-out Allowance: </w:t>
      </w:r>
      <w:r>
        <w:rPr>
          <w:sz w:val="22"/>
          <w:szCs w:val="22"/>
        </w:rPr>
        <w:t xml:space="preserve">₹30,00,000 from Prestige — adjusted against rent (received)</w:t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2.3 Key Clauses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Lock-in: 3 years (expired March 2024) — TechNova can now exit with 6 months' notice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Sub-letting: Prohibited without Prestige's written consent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Alterations: Permitted up to ₹5 lakhs; above that requires Prestige 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Restoration: TechNova to restore to base condition on exit (except normal wear)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Force Majeure: Standard clause — neither party liable for unforeseeable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Dispute Resolution: Arbitration under Arbitration &amp; Conciliation Act 1996 — venue Bengaluru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7C2D12"/>
          <w:sz w:val="26"/>
          <w:szCs w:val="26"/>
        </w:rPr>
        <w:t xml:space="preserve">3. Godrej BKC, Mumbai — Lease Agreement Key Terms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Lessor: </w:t>
      </w:r>
      <w:r>
        <w:rPr>
          <w:sz w:val="22"/>
          <w:szCs w:val="22"/>
        </w:rPr>
        <w:t xml:space="preserve">Godrej Properties Limited (CIN: L74120MH1985PLC025308)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Lessee: </w:t>
      </w:r>
      <w:r>
        <w:rPr>
          <w:sz w:val="22"/>
          <w:szCs w:val="22"/>
        </w:rPr>
        <w:t xml:space="preserve">TechNova Solutions Private Limited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Property: </w:t>
      </w:r>
      <w:r>
        <w:rPr>
          <w:sz w:val="22"/>
          <w:szCs w:val="22"/>
        </w:rPr>
        <w:t xml:space="preserve">Unit No. 802, 8th Floor, Godrej BKC, Plot C-68, G Block, BKC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Lease Period: </w:t>
      </w:r>
      <w:r>
        <w:rPr>
          <w:sz w:val="22"/>
          <w:szCs w:val="22"/>
        </w:rPr>
        <w:t xml:space="preserve">3 years (1 July 2022 to 30 June 2025)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Base Rent: </w:t>
      </w:r>
      <w:r>
        <w:rPr>
          <w:sz w:val="22"/>
          <w:szCs w:val="22"/>
        </w:rPr>
        <w:t xml:space="preserve">₹140/sq. ft./month — escalating 5% annually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Security Deposit: </w:t>
      </w:r>
      <w:r>
        <w:rPr>
          <w:sz w:val="22"/>
          <w:szCs w:val="22"/>
        </w:rPr>
        <w:t xml:space="preserve">₹21,84,000 — deposited July 2022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Lock-in: </w:t>
      </w:r>
      <w:r>
        <w:rPr>
          <w:sz w:val="22"/>
          <w:szCs w:val="22"/>
        </w:rPr>
        <w:t xml:space="preserve">18 months (expired January 2024)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Renewal Clause: </w:t>
      </w:r>
      <w:r>
        <w:rPr>
          <w:sz w:val="22"/>
          <w:szCs w:val="22"/>
        </w:rPr>
        <w:t xml:space="preserve">Option to renew for 3 years — must exercise by 1 April 2025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Current Status: </w:t>
      </w:r>
      <w:r>
        <w:rPr>
          <w:sz w:val="22"/>
          <w:szCs w:val="22"/>
        </w:rPr>
        <w:t xml:space="preserve">Renewal term sheet received — legal review ongoing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7C2D12"/>
          <w:sz w:val="26"/>
          <w:szCs w:val="26"/>
        </w:rPr>
        <w:t xml:space="preserve">4. Encumbrance Certificates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Prestige Tech Park: EC obtained from Sub-Registrar Marathahalli — NIL encumbrance as at 1 March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Godrej BKC: EC obtained from Sub-Registrar BKC — NIL encumbrance as at 1 March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Both ECs valid for 12 years history — no mortgages, charges, or litigation entries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7C2D12"/>
          <w:sz w:val="26"/>
          <w:szCs w:val="26"/>
        </w:rPr>
        <w:t xml:space="preserve">5. Stamp Duty &amp; Registration Status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Agreement</w:t>
            </w:r>
          </w:p>
        </w:tc>
        <w:tc>
          <w:tcPr>
            <w:tcW w:type="dxa" w:w="24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Stamp Duty Paid</w:t>
            </w:r>
          </w:p>
        </w:tc>
        <w:tc>
          <w:tcPr>
            <w:tcW w:type="dxa" w:w="18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Registration Fee</w:t>
            </w:r>
          </w:p>
        </w:tc>
        <w:tc>
          <w:tcPr>
            <w:tcW w:type="dxa" w:w="20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Registered At</w:t>
            </w:r>
          </w:p>
        </w:tc>
        <w:tc>
          <w:tcPr>
            <w:tcW w:type="dxa" w:w="18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 Number</w:t>
            </w:r>
          </w:p>
        </w:tc>
      </w:tr>
      <w:tr>
        <w:trPr>
          <w:tblHeader w:val="false"/>
        </w:trP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Prestige Tech Park (2021)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₹6,58,800 (0.6% of rent × term)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₹60,000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SR Marathahalli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BLR/2021/4821</w:t>
            </w:r>
          </w:p>
        </w:tc>
      </w:tr>
      <w:tr>
        <w:trPr>
          <w:tblHeader w:val="false"/>
        </w:trP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Godrej BKC (2022)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₹3,28,320 (Maharashtra rate)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₹30,000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SR BKC Mumbai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MH/BKC/2022/0982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Both lease registrations are in order. No deficiency notices received from any Sub-Registrar office.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2026-03-07T06:45:06.930Z</dcterms:created>
  <dcterms:modified xsi:type="dcterms:W3CDTF">2026-03-07T06:45:06.930Z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