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0" w:after="120"/>
      </w:pPr>
      <w:r>
        <w:rPr>
          <w:b/>
          <w:bCs/>
          <w:color w:val="1A2755"/>
          <w:sz w:val="32"/>
          <w:szCs w:val="32"/>
        </w:rPr>
        <w:t xml:space="preserve">TechNova Solutions — Zoning &amp; Land Use Compliance Report</w:t>
      </w:r>
    </w:p>
    <w:p>
      <w:pPr>
        <w:spacing w:after="100"/>
      </w:pPr>
      <w:r>
        <w:rPr>
          <w:sz w:val="22"/>
          <w:szCs w:val="22"/>
        </w:rPr>
        <w:t xml:space="preserve">Module: Land &amp; Legal | Slot: Zoning | March 2025</w:t>
      </w:r>
    </w:p>
    <w:p>
      <w:pPr>
        <w:spacing w:before="120" w:after="120"/>
      </w:pPr>
      <w:r>
        <w:rPr>
          <w:color w:val="CBD5E1"/>
          <w:sz w:val="18"/>
          <w:szCs w:val="18"/>
        </w:rPr>
        <w:t xml:space="preserve">────────────────────────────────────────────────────────────────────────</w:t>
      </w:r>
    </w:p>
    <w:p>
      <w:pPr>
        <w:pStyle w:val="Heading2"/>
        <w:spacing w:before="200" w:after="100"/>
      </w:pPr>
      <w:r>
        <w:rPr>
          <w:b/>
          <w:bCs/>
          <w:color w:val="7C2D12"/>
          <w:sz w:val="26"/>
          <w:szCs w:val="26"/>
        </w:rPr>
        <w:t xml:space="preserve">1. Overview</w:t>
      </w:r>
    </w:p>
    <w:p>
      <w:pPr>
        <w:spacing w:after="100"/>
      </w:pPr>
      <w:r>
        <w:rPr>
          <w:sz w:val="22"/>
          <w:szCs w:val="22"/>
        </w:rPr>
        <w:t xml:space="preserve">TechNova's office premises are located in designated IT/ITES parks and commercial zones. All properties are occupied in strict accordance with their permitted land use. The following report documents the zoning classification, applicable Master Plan provisions, and compliance status for each location.</w:t>
      </w:r>
    </w:p>
    <w:p>
      <w:pPr>
        <w:spacing w:before="120" w:after="120"/>
      </w:pPr>
      <w:r>
        <w:rPr>
          <w:color w:val="CBD5E1"/>
          <w:sz w:val="18"/>
          <w:szCs w:val="18"/>
        </w:rPr>
        <w:t xml:space="preserve">────────────────────────────────────────────────────────────────────────</w:t>
      </w:r>
    </w:p>
    <w:p>
      <w:pPr>
        <w:pStyle w:val="Heading2"/>
        <w:spacing w:before="200" w:after="100"/>
      </w:pPr>
      <w:r>
        <w:rPr>
          <w:b/>
          <w:bCs/>
          <w:color w:val="7C2D12"/>
          <w:sz w:val="26"/>
          <w:szCs w:val="26"/>
        </w:rPr>
        <w:t xml:space="preserve">2. Bengaluru — Prestige Tech Park</w:t>
      </w:r>
    </w:p>
    <w:p>
      <w:pPr>
        <w:spacing w:after="80"/>
      </w:pPr>
      <w:r>
        <w:rPr>
          <w:b/>
          <w:bCs/>
          <w:sz w:val="22"/>
          <w:szCs w:val="22"/>
        </w:rPr>
        <w:t xml:space="preserve">Location: </w:t>
      </w:r>
      <w:r>
        <w:rPr>
          <w:sz w:val="22"/>
          <w:szCs w:val="22"/>
        </w:rPr>
        <w:t xml:space="preserve">Outer Ring Road, Marathahalli, Bengaluru Urban District</w:t>
      </w:r>
    </w:p>
    <w:p>
      <w:pPr>
        <w:spacing w:after="80"/>
      </w:pPr>
      <w:r>
        <w:rPr>
          <w:b/>
          <w:bCs/>
          <w:sz w:val="22"/>
          <w:szCs w:val="22"/>
        </w:rPr>
        <w:t xml:space="preserve">BBMP Zone: </w:t>
      </w:r>
      <w:r>
        <w:rPr>
          <w:sz w:val="22"/>
          <w:szCs w:val="22"/>
        </w:rPr>
        <w:t xml:space="preserve">East Zone — Ward No. 84 (Marathahalli)</w:t>
      </w:r>
    </w:p>
    <w:p>
      <w:pPr>
        <w:spacing w:after="80"/>
      </w:pPr>
      <w:r>
        <w:rPr>
          <w:b/>
          <w:bCs/>
          <w:sz w:val="22"/>
          <w:szCs w:val="22"/>
        </w:rPr>
        <w:t xml:space="preserve">BDA Master Plan Zone: </w:t>
      </w:r>
      <w:r>
        <w:rPr>
          <w:sz w:val="22"/>
          <w:szCs w:val="22"/>
        </w:rPr>
        <w:t xml:space="preserve">IT/ITES and Commercial Zone — Revised Master Plan 2031</w:t>
      </w:r>
    </w:p>
    <w:p>
      <w:pPr>
        <w:spacing w:after="80"/>
      </w:pPr>
      <w:r>
        <w:rPr>
          <w:b/>
          <w:bCs/>
          <w:sz w:val="22"/>
          <w:szCs w:val="22"/>
        </w:rPr>
        <w:t xml:space="preserve">Permitted Use: </w:t>
      </w:r>
      <w:r>
        <w:rPr>
          <w:sz w:val="22"/>
          <w:szCs w:val="22"/>
        </w:rPr>
        <w:t xml:space="preserve">Information Technology, ITES, Software Development, R&amp;D, ancillary commercial</w:t>
      </w:r>
    </w:p>
    <w:p>
      <w:pPr>
        <w:spacing w:after="80"/>
      </w:pPr>
      <w:r>
        <w:rPr>
          <w:b/>
          <w:bCs/>
          <w:sz w:val="22"/>
          <w:szCs w:val="22"/>
        </w:rPr>
        <w:t xml:space="preserve">SEZ Status: </w:t>
      </w:r>
      <w:r>
        <w:rPr>
          <w:sz w:val="22"/>
          <w:szCs w:val="22"/>
        </w:rPr>
        <w:t xml:space="preserve">Notified IT/SEZ — Ministry of Commerce notification No. SEZ/BLR/2008/0042</w:t>
      </w:r>
    </w:p>
    <w:p>
      <w:pPr>
        <w:spacing w:after="80"/>
      </w:pPr>
      <w:r>
        <w:rPr>
          <w:b/>
          <w:bCs/>
          <w:sz w:val="22"/>
          <w:szCs w:val="22"/>
        </w:rPr>
        <w:t xml:space="preserve">Building Plan Approval: </w:t>
      </w:r>
      <w:r>
        <w:rPr>
          <w:sz w:val="22"/>
          <w:szCs w:val="22"/>
        </w:rPr>
        <w:t xml:space="preserve">BBMP approved — B.P. No. BLR/84/2007/0341 (Tower B)</w:t>
      </w:r>
    </w:p>
    <w:p>
      <w:pPr>
        <w:spacing w:after="80"/>
      </w:pPr>
      <w:r>
        <w:rPr>
          <w:b/>
          <w:bCs/>
          <w:sz w:val="22"/>
          <w:szCs w:val="22"/>
        </w:rPr>
        <w:t xml:space="preserve">Occupancy Certificate: </w:t>
      </w:r>
      <w:r>
        <w:rPr>
          <w:sz w:val="22"/>
          <w:szCs w:val="22"/>
        </w:rPr>
        <w:t xml:space="preserve">OC issued by BBMP — OC No. BLR/OC/2010/1243 — valid</w:t>
      </w:r>
    </w:p>
    <w:p>
      <w:pPr>
        <w:spacing w:after="80"/>
      </w:pPr>
      <w:r>
        <w:rPr>
          <w:b/>
          <w:bCs/>
          <w:sz w:val="22"/>
          <w:szCs w:val="22"/>
        </w:rPr>
        <w:t xml:space="preserve">Fire NOC: </w:t>
      </w:r>
      <w:r>
        <w:rPr>
          <w:sz w:val="22"/>
          <w:szCs w:val="22"/>
        </w:rPr>
        <w:t xml:space="preserve">Karnataka Fire &amp; Emergency Services — NOC No. KFES/BLR/2024/0892 — renewed January 2025</w:t>
      </w:r>
    </w:p>
    <w:p>
      <w:pPr>
        <w:spacing w:after="80"/>
      </w:pPr>
      <w:r>
        <w:rPr>
          <w:b/>
          <w:bCs/>
          <w:sz w:val="22"/>
          <w:szCs w:val="22"/>
        </w:rPr>
        <w:t xml:space="preserve">Lift Inspection: </w:t>
      </w:r>
      <w:r>
        <w:rPr>
          <w:sz w:val="22"/>
          <w:szCs w:val="22"/>
        </w:rPr>
        <w:t xml:space="preserve">Dept. of Factories, Boilers, Industrial Safety &amp; Health — valid to December 2025</w:t>
      </w:r>
    </w:p>
    <w:p>
      <w:pPr>
        <w:spacing w:before="160" w:after="80"/>
      </w:pPr>
      <w:r>
        <w:rPr>
          <w:b/>
          <w:bCs/>
          <w:color w:val="334155"/>
          <w:sz w:val="24"/>
          <w:szCs w:val="24"/>
        </w:rPr>
        <w:t xml:space="preserve">Compliance Assessment</w:t>
      </w:r>
    </w:p>
    <w:p>
      <w:pPr>
        <w:pStyle w:val="ListParagraph"/>
        <w:numPr>
          <w:ilvl w:val="0"/>
          <w:numId w:val="2"/>
        </w:numPr>
        <w:spacing w:after="60"/>
      </w:pPr>
      <w:r>
        <w:rPr>
          <w:sz w:val="22"/>
          <w:szCs w:val="22"/>
        </w:rPr>
        <w:t xml:space="preserve">TechNova's use (IT/SaaS operations) is fully consistent with IT/ITES zone — no violation</w:t>
      </w:r>
    </w:p>
    <w:p>
      <w:pPr>
        <w:pStyle w:val="ListParagraph"/>
        <w:numPr>
          <w:ilvl w:val="0"/>
          <w:numId w:val="2"/>
        </w:numPr>
        <w:spacing w:after="60"/>
      </w:pPr>
      <w:r>
        <w:rPr>
          <w:sz w:val="22"/>
          <w:szCs w:val="22"/>
        </w:rPr>
        <w:t xml:space="preserve">No deviation from sanctioned building plan observed during last BBMP inspection (Oct 2024)</w:t>
      </w:r>
    </w:p>
    <w:p>
      <w:pPr>
        <w:pStyle w:val="ListParagraph"/>
        <w:numPr>
          <w:ilvl w:val="0"/>
          <w:numId w:val="2"/>
        </w:numPr>
        <w:spacing w:after="60"/>
      </w:pPr>
      <w:r>
        <w:rPr>
          <w:sz w:val="22"/>
          <w:szCs w:val="22"/>
        </w:rPr>
        <w:t xml:space="preserve">SEZ compliance: TechNova is a co-developer within SEZ — import/export obligations N/A (domestic company)</w:t>
      </w:r>
    </w:p>
    <w:p>
      <w:pPr>
        <w:pStyle w:val="ListParagraph"/>
        <w:numPr>
          <w:ilvl w:val="0"/>
          <w:numId w:val="2"/>
        </w:numPr>
        <w:spacing w:after="60"/>
      </w:pPr>
      <w:r>
        <w:rPr>
          <w:sz w:val="22"/>
          <w:szCs w:val="22"/>
        </w:rPr>
        <w:t xml:space="preserve">Green belt and setback requirements: met by Prestige — verified from building plan</w:t>
      </w:r>
    </w:p>
    <w:p>
      <w:pPr>
        <w:spacing w:before="120" w:after="120"/>
      </w:pPr>
      <w:r>
        <w:rPr>
          <w:color w:val="CBD5E1"/>
          <w:sz w:val="18"/>
          <w:szCs w:val="18"/>
        </w:rPr>
        <w:t xml:space="preserve">────────────────────────────────────────────────────────────────────────</w:t>
      </w:r>
    </w:p>
    <w:p>
      <w:pPr>
        <w:pStyle w:val="Heading2"/>
        <w:spacing w:before="200" w:after="100"/>
      </w:pPr>
      <w:r>
        <w:rPr>
          <w:b/>
          <w:bCs/>
          <w:color w:val="7C2D12"/>
          <w:sz w:val="26"/>
          <w:szCs w:val="26"/>
        </w:rPr>
        <w:t xml:space="preserve">3. Bengaluru — WeWork Galaxy, Residency Road</w:t>
      </w:r>
    </w:p>
    <w:p>
      <w:pPr>
        <w:spacing w:after="80"/>
      </w:pPr>
      <w:r>
        <w:rPr>
          <w:b/>
          <w:bCs/>
          <w:sz w:val="22"/>
          <w:szCs w:val="22"/>
        </w:rPr>
        <w:t xml:space="preserve">Location: </w:t>
      </w:r>
      <w:r>
        <w:rPr>
          <w:sz w:val="22"/>
          <w:szCs w:val="22"/>
        </w:rPr>
        <w:t xml:space="preserve">46, Residency Road, Shanthala Nagar, Bengaluru — 560025</w:t>
      </w:r>
    </w:p>
    <w:p>
      <w:pPr>
        <w:spacing w:after="80"/>
      </w:pPr>
      <w:r>
        <w:rPr>
          <w:b/>
          <w:bCs/>
          <w:sz w:val="22"/>
          <w:szCs w:val="22"/>
        </w:rPr>
        <w:t xml:space="preserve">BBMP Zone: </w:t>
      </w:r>
      <w:r>
        <w:rPr>
          <w:sz w:val="22"/>
          <w:szCs w:val="22"/>
        </w:rPr>
        <w:t xml:space="preserve">Central Business District (CBD) — Commercial Zone</w:t>
      </w:r>
    </w:p>
    <w:p>
      <w:pPr>
        <w:spacing w:after="80"/>
      </w:pPr>
      <w:r>
        <w:rPr>
          <w:b/>
          <w:bCs/>
          <w:sz w:val="22"/>
          <w:szCs w:val="22"/>
        </w:rPr>
        <w:t xml:space="preserve">BDA Master Plan Zone: </w:t>
      </w:r>
      <w:r>
        <w:rPr>
          <w:sz w:val="22"/>
          <w:szCs w:val="22"/>
        </w:rPr>
        <w:t xml:space="preserve">Mixed Use Commercial — BDA RMP 2031</w:t>
      </w:r>
    </w:p>
    <w:p>
      <w:pPr>
        <w:spacing w:after="80"/>
      </w:pPr>
      <w:r>
        <w:rPr>
          <w:b/>
          <w:bCs/>
          <w:sz w:val="22"/>
          <w:szCs w:val="22"/>
        </w:rPr>
        <w:t xml:space="preserve">Permitted Use: </w:t>
      </w:r>
      <w:r>
        <w:rPr>
          <w:sz w:val="22"/>
          <w:szCs w:val="22"/>
        </w:rPr>
        <w:t xml:space="preserve">Commercial offices, retail, hospitality, co-working</w:t>
      </w:r>
    </w:p>
    <w:p>
      <w:pPr>
        <w:spacing w:after="80"/>
      </w:pPr>
      <w:r>
        <w:rPr>
          <w:b/>
          <w:bCs/>
          <w:sz w:val="22"/>
          <w:szCs w:val="22"/>
        </w:rPr>
        <w:t xml:space="preserve">Building Approval: </w:t>
      </w:r>
      <w:r>
        <w:rPr>
          <w:sz w:val="22"/>
          <w:szCs w:val="22"/>
        </w:rPr>
        <w:t xml:space="preserve">BBMP — B.P. No. BLR/CBG/2018/0128</w:t>
      </w:r>
    </w:p>
    <w:p>
      <w:pPr>
        <w:spacing w:after="80"/>
      </w:pPr>
      <w:r>
        <w:rPr>
          <w:b/>
          <w:bCs/>
          <w:sz w:val="22"/>
          <w:szCs w:val="22"/>
        </w:rPr>
        <w:t xml:space="preserve">Occupancy Certificate: </w:t>
      </w:r>
      <w:r>
        <w:rPr>
          <w:sz w:val="22"/>
          <w:szCs w:val="22"/>
        </w:rPr>
        <w:t xml:space="preserve">OC issued 2020 — valid</w:t>
      </w:r>
    </w:p>
    <w:p>
      <w:pPr>
        <w:spacing w:after="80"/>
      </w:pPr>
      <w:r>
        <w:rPr>
          <w:b/>
          <w:bCs/>
          <w:sz w:val="22"/>
          <w:szCs w:val="22"/>
        </w:rPr>
        <w:t xml:space="preserve">Compliance: </w:t>
      </w:r>
      <w:r>
        <w:rPr>
          <w:sz w:val="22"/>
          <w:szCs w:val="22"/>
        </w:rPr>
        <w:t xml:space="preserve">WeWork India holds all statutory approvals — TechNova as occupant has no independent obligation</w:t>
      </w:r>
    </w:p>
    <w:p>
      <w:pPr>
        <w:spacing w:before="120" w:after="120"/>
      </w:pPr>
      <w:r>
        <w:rPr>
          <w:color w:val="CBD5E1"/>
          <w:sz w:val="18"/>
          <w:szCs w:val="18"/>
        </w:rPr>
        <w:t xml:space="preserve">────────────────────────────────────────────────────────────────────────</w:t>
      </w:r>
    </w:p>
    <w:p>
      <w:pPr>
        <w:pStyle w:val="Heading2"/>
        <w:spacing w:before="200" w:after="100"/>
      </w:pPr>
      <w:r>
        <w:rPr>
          <w:b/>
          <w:bCs/>
          <w:color w:val="7C2D12"/>
          <w:sz w:val="26"/>
          <w:szCs w:val="26"/>
        </w:rPr>
        <w:t xml:space="preserve">4. Mumbai — Godrej BKC</w:t>
      </w:r>
    </w:p>
    <w:p>
      <w:pPr>
        <w:spacing w:after="80"/>
      </w:pPr>
      <w:r>
        <w:rPr>
          <w:b/>
          <w:bCs/>
          <w:sz w:val="22"/>
          <w:szCs w:val="22"/>
        </w:rPr>
        <w:t xml:space="preserve">Location: </w:t>
      </w:r>
      <w:r>
        <w:rPr>
          <w:sz w:val="22"/>
          <w:szCs w:val="22"/>
        </w:rPr>
        <w:t xml:space="preserve">Plot C-68, G Block, Bandra Kurla Complex, Mumbai — 400051</w:t>
      </w:r>
    </w:p>
    <w:p>
      <w:pPr>
        <w:spacing w:after="80"/>
      </w:pPr>
      <w:r>
        <w:rPr>
          <w:b/>
          <w:bCs/>
          <w:sz w:val="22"/>
          <w:szCs w:val="22"/>
        </w:rPr>
        <w:t xml:space="preserve">MCGM Zone: </w:t>
      </w:r>
      <w:r>
        <w:rPr>
          <w:sz w:val="22"/>
          <w:szCs w:val="22"/>
        </w:rPr>
        <w:t xml:space="preserve">C-2 Commercial Zone (BKC Special Planning Area)</w:t>
      </w:r>
    </w:p>
    <w:p>
      <w:pPr>
        <w:spacing w:after="80"/>
      </w:pPr>
      <w:r>
        <w:rPr>
          <w:b/>
          <w:bCs/>
          <w:sz w:val="22"/>
          <w:szCs w:val="22"/>
        </w:rPr>
        <w:t xml:space="preserve">MMRDA Master Plan: </w:t>
      </w:r>
      <w:r>
        <w:rPr>
          <w:sz w:val="22"/>
          <w:szCs w:val="22"/>
        </w:rPr>
        <w:t xml:space="preserve">BKC notified as special planning area — commercial offices fully permitted</w:t>
      </w:r>
    </w:p>
    <w:p>
      <w:pPr>
        <w:spacing w:after="80"/>
      </w:pPr>
      <w:r>
        <w:rPr>
          <w:b/>
          <w:bCs/>
          <w:sz w:val="22"/>
          <w:szCs w:val="22"/>
        </w:rPr>
        <w:t xml:space="preserve">FSI Used: </w:t>
      </w:r>
      <w:r>
        <w:rPr>
          <w:sz w:val="22"/>
          <w:szCs w:val="22"/>
        </w:rPr>
        <w:t xml:space="preserve">4.0 (permitted FSI: 4.0 — fully consumed)</w:t>
      </w:r>
    </w:p>
    <w:p>
      <w:pPr>
        <w:spacing w:after="80"/>
      </w:pPr>
      <w:r>
        <w:rPr>
          <w:b/>
          <w:bCs/>
          <w:sz w:val="22"/>
          <w:szCs w:val="22"/>
        </w:rPr>
        <w:t xml:space="preserve">Permitted Use: </w:t>
      </w:r>
      <w:r>
        <w:rPr>
          <w:sz w:val="22"/>
          <w:szCs w:val="22"/>
        </w:rPr>
        <w:t xml:space="preserve">Commercial offices, financial services, IT/ITES, consulting</w:t>
      </w:r>
    </w:p>
    <w:p>
      <w:pPr>
        <w:spacing w:after="80"/>
      </w:pPr>
      <w:r>
        <w:rPr>
          <w:b/>
          <w:bCs/>
          <w:sz w:val="22"/>
          <w:szCs w:val="22"/>
        </w:rPr>
        <w:t xml:space="preserve">Building Plan Approval: </w:t>
      </w:r>
      <w:r>
        <w:rPr>
          <w:sz w:val="22"/>
          <w:szCs w:val="22"/>
        </w:rPr>
        <w:t xml:space="preserve">MCGM — Commencement Certificate CC/BKC/2018/0088</w:t>
      </w:r>
    </w:p>
    <w:p>
      <w:pPr>
        <w:spacing w:after="80"/>
      </w:pPr>
      <w:r>
        <w:rPr>
          <w:b/>
          <w:bCs/>
          <w:sz w:val="22"/>
          <w:szCs w:val="22"/>
        </w:rPr>
        <w:t xml:space="preserve">Occupancy Certificate: </w:t>
      </w:r>
      <w:r>
        <w:rPr>
          <w:sz w:val="22"/>
          <w:szCs w:val="22"/>
        </w:rPr>
        <w:t xml:space="preserve">MCGM OC issued 2020 — certified copy held by Godrej Properties</w:t>
      </w:r>
    </w:p>
    <w:p>
      <w:pPr>
        <w:spacing w:after="80"/>
      </w:pPr>
      <w:r>
        <w:rPr>
          <w:b/>
          <w:bCs/>
          <w:sz w:val="22"/>
          <w:szCs w:val="22"/>
        </w:rPr>
        <w:t xml:space="preserve">Fire NOC: </w:t>
      </w:r>
      <w:r>
        <w:rPr>
          <w:sz w:val="22"/>
          <w:szCs w:val="22"/>
        </w:rPr>
        <w:t xml:space="preserve">Mumbai Fire Brigade — NOC issued 2020, renewed 2024 — valid to December 2025</w:t>
      </w:r>
    </w:p>
    <w:p>
      <w:pPr>
        <w:spacing w:after="80"/>
      </w:pPr>
      <w:r>
        <w:rPr>
          <w:b/>
          <w:bCs/>
          <w:sz w:val="22"/>
          <w:szCs w:val="22"/>
        </w:rPr>
        <w:t xml:space="preserve">Compliance: </w:t>
      </w:r>
      <w:r>
        <w:rPr>
          <w:sz w:val="22"/>
          <w:szCs w:val="22"/>
        </w:rPr>
        <w:t xml:space="preserve">TechNova's use as IT/software office is consistent with BKC commercial zone — fully compliant</w:t>
      </w:r>
    </w:p>
    <w:p>
      <w:pPr>
        <w:spacing w:before="120" w:after="120"/>
      </w:pPr>
      <w:r>
        <w:rPr>
          <w:color w:val="CBD5E1"/>
          <w:sz w:val="18"/>
          <w:szCs w:val="18"/>
        </w:rPr>
        <w:t xml:space="preserve">────────────────────────────────────────────────────────────────────────</w:t>
      </w:r>
    </w:p>
    <w:p>
      <w:pPr>
        <w:pStyle w:val="Heading2"/>
        <w:spacing w:before="200" w:after="100"/>
      </w:pPr>
      <w:r>
        <w:rPr>
          <w:b/>
          <w:bCs/>
          <w:color w:val="7C2D12"/>
          <w:sz w:val="26"/>
          <w:szCs w:val="26"/>
        </w:rPr>
        <w:t xml:space="preserve">5. Zoning Compliance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400"/>
            <w:shd w:fill="7C2D12" w:val="clear"/>
            <w:vAlign w:val="center"/>
          </w:tcPr>
          <w:p>
            <w:pPr>
              <w:spacing w:after="0"/>
            </w:pPr>
            <w:r>
              <w:rPr>
                <w:b/>
                <w:bCs/>
                <w:color w:val="FFFFFF"/>
                <w:sz w:val="20"/>
                <w:szCs w:val="20"/>
              </w:rPr>
              <w:t xml:space="preserve">Property</w:t>
            </w:r>
          </w:p>
        </w:tc>
        <w:tc>
          <w:tcPr>
            <w:tcW w:type="dxa" w:w="1800"/>
            <w:shd w:fill="7C2D12" w:val="clear"/>
            <w:vAlign w:val="center"/>
          </w:tcPr>
          <w:p>
            <w:pPr>
              <w:spacing w:after="0"/>
            </w:pPr>
            <w:r>
              <w:rPr>
                <w:b/>
                <w:bCs/>
                <w:color w:val="FFFFFF"/>
                <w:sz w:val="20"/>
                <w:szCs w:val="20"/>
              </w:rPr>
              <w:t xml:space="preserve">Zone Type</w:t>
            </w:r>
          </w:p>
        </w:tc>
        <w:tc>
          <w:tcPr>
            <w:tcW w:type="dxa" w:w="2000"/>
            <w:shd w:fill="7C2D12" w:val="clear"/>
            <w:vAlign w:val="center"/>
          </w:tcPr>
          <w:p>
            <w:pPr>
              <w:spacing w:after="0"/>
            </w:pPr>
            <w:r>
              <w:rPr>
                <w:b/>
                <w:bCs/>
                <w:color w:val="FFFFFF"/>
                <w:sz w:val="20"/>
                <w:szCs w:val="20"/>
              </w:rPr>
              <w:t xml:space="preserve">Permitted Use</w:t>
            </w:r>
          </w:p>
        </w:tc>
        <w:tc>
          <w:tcPr>
            <w:tcW w:type="dxa" w:w="2000"/>
            <w:shd w:fill="7C2D12" w:val="clear"/>
            <w:vAlign w:val="center"/>
          </w:tcPr>
          <w:p>
            <w:pPr>
              <w:spacing w:after="0"/>
            </w:pPr>
            <w:r>
              <w:rPr>
                <w:b/>
                <w:bCs/>
                <w:color w:val="FFFFFF"/>
                <w:sz w:val="20"/>
                <w:szCs w:val="20"/>
              </w:rPr>
              <w:t xml:space="preserve">TechNova Use</w:t>
            </w:r>
          </w:p>
        </w:tc>
        <w:tc>
          <w:tcPr>
            <w:tcW w:type="dxa" w:w="1200"/>
            <w:shd w:fill="7C2D12" w:val="clear"/>
            <w:vAlign w:val="center"/>
          </w:tcPr>
          <w:p>
            <w:pPr>
              <w:spacing w:after="0"/>
            </w:pPr>
            <w:r>
              <w:rPr>
                <w:b/>
                <w:bCs/>
                <w:color w:val="FFFFFF"/>
                <w:sz w:val="20"/>
                <w:szCs w:val="20"/>
              </w:rPr>
              <w:t xml:space="preserve">Compliant</w:t>
            </w:r>
          </w:p>
        </w:tc>
        <w:tc>
          <w:tcPr>
            <w:tcW w:type="dxa" w:w="1600"/>
            <w:shd w:fill="7C2D12" w:val="clear"/>
            <w:vAlign w:val="center"/>
          </w:tcPr>
          <w:p>
            <w:pPr>
              <w:spacing w:after="0"/>
            </w:pPr>
            <w:r>
              <w:rPr>
                <w:b/>
                <w:bCs/>
                <w:color w:val="FFFFFF"/>
                <w:sz w:val="20"/>
                <w:szCs w:val="20"/>
              </w:rPr>
              <w:t xml:space="preserve">NOC Status</w:t>
            </w:r>
          </w:p>
        </w:tc>
      </w:tr>
      <w:tr>
        <w:trPr>
          <w:tblHeader w:val="false"/>
        </w:trPr>
        <w:tc>
          <w:tcPr>
            <w:tcW w:type="dxa" w:w="2400"/>
            <w:vAlign w:val="center"/>
          </w:tcPr>
          <w:p>
            <w:pPr>
              <w:spacing w:after="0"/>
            </w:pPr>
            <w:r>
              <w:rPr>
                <w:b w:val="false"/>
                <w:bCs w:val="false"/>
                <w:color w:val="1E293B"/>
                <w:sz w:val="20"/>
                <w:szCs w:val="20"/>
              </w:rPr>
              <w:t xml:space="preserve">Prestige Tech Park, BLR</w:t>
            </w:r>
          </w:p>
        </w:tc>
        <w:tc>
          <w:tcPr>
            <w:tcW w:type="dxa" w:w="1800"/>
            <w:vAlign w:val="center"/>
          </w:tcPr>
          <w:p>
            <w:pPr>
              <w:spacing w:after="0"/>
            </w:pPr>
            <w:r>
              <w:rPr>
                <w:b w:val="false"/>
                <w:bCs w:val="false"/>
                <w:color w:val="1E293B"/>
                <w:sz w:val="20"/>
                <w:szCs w:val="20"/>
              </w:rPr>
              <w:t xml:space="preserve">IT/ITES SEZ</w:t>
            </w:r>
          </w:p>
        </w:tc>
        <w:tc>
          <w:tcPr>
            <w:tcW w:type="dxa" w:w="2000"/>
            <w:vAlign w:val="center"/>
          </w:tcPr>
          <w:p>
            <w:pPr>
              <w:spacing w:after="0"/>
            </w:pPr>
            <w:r>
              <w:rPr>
                <w:b w:val="false"/>
                <w:bCs w:val="false"/>
                <w:color w:val="1E293B"/>
                <w:sz w:val="20"/>
                <w:szCs w:val="20"/>
              </w:rPr>
              <w:t xml:space="preserve">IT/ITES/R&amp;D</w:t>
            </w:r>
          </w:p>
        </w:tc>
        <w:tc>
          <w:tcPr>
            <w:tcW w:type="dxa" w:w="2000"/>
            <w:vAlign w:val="center"/>
          </w:tcPr>
          <w:p>
            <w:pPr>
              <w:spacing w:after="0"/>
            </w:pPr>
            <w:r>
              <w:rPr>
                <w:b w:val="false"/>
                <w:bCs w:val="false"/>
                <w:color w:val="1E293B"/>
                <w:sz w:val="20"/>
                <w:szCs w:val="20"/>
              </w:rPr>
              <w:t xml:space="preserve">SaaS Operations</w:t>
            </w:r>
          </w:p>
        </w:tc>
        <w:tc>
          <w:tcPr>
            <w:tcW w:type="dxa" w:w="1200"/>
            <w:vAlign w:val="center"/>
          </w:tcPr>
          <w:p>
            <w:pPr>
              <w:spacing w:after="0"/>
            </w:pPr>
            <w:r>
              <w:rPr>
                <w:b w:val="false"/>
                <w:bCs w:val="false"/>
                <w:color w:val="1E293B"/>
                <w:sz w:val="20"/>
                <w:szCs w:val="20"/>
              </w:rPr>
              <w:t xml:space="preserve">Yes</w:t>
            </w:r>
          </w:p>
        </w:tc>
        <w:tc>
          <w:tcPr>
            <w:tcW w:type="dxa" w:w="1600"/>
            <w:vAlign w:val="center"/>
          </w:tcPr>
          <w:p>
            <w:pPr>
              <w:spacing w:after="0"/>
            </w:pPr>
            <w:r>
              <w:rPr>
                <w:b w:val="false"/>
                <w:bCs w:val="false"/>
                <w:color w:val="1E293B"/>
                <w:sz w:val="20"/>
                <w:szCs w:val="20"/>
              </w:rPr>
              <w:t xml:space="preserve">All current</w:t>
            </w:r>
          </w:p>
        </w:tc>
      </w:tr>
      <w:tr>
        <w:trPr>
          <w:tblHeader w:val="false"/>
        </w:trPr>
        <w:tc>
          <w:tcPr>
            <w:tcW w:type="dxa" w:w="2400"/>
            <w:vAlign w:val="center"/>
          </w:tcPr>
          <w:p>
            <w:pPr>
              <w:spacing w:after="0"/>
            </w:pPr>
            <w:r>
              <w:rPr>
                <w:b w:val="false"/>
                <w:bCs w:val="false"/>
                <w:color w:val="1E293B"/>
                <w:sz w:val="20"/>
                <w:szCs w:val="20"/>
              </w:rPr>
              <w:t xml:space="preserve">WeWork Galaxy, BLR</w:t>
            </w:r>
          </w:p>
        </w:tc>
        <w:tc>
          <w:tcPr>
            <w:tcW w:type="dxa" w:w="1800"/>
            <w:vAlign w:val="center"/>
          </w:tcPr>
          <w:p>
            <w:pPr>
              <w:spacing w:after="0"/>
            </w:pPr>
            <w:r>
              <w:rPr>
                <w:b w:val="false"/>
                <w:bCs w:val="false"/>
                <w:color w:val="1E293B"/>
                <w:sz w:val="20"/>
                <w:szCs w:val="20"/>
              </w:rPr>
              <w:t xml:space="preserve">CBD Commercial</w:t>
            </w:r>
          </w:p>
        </w:tc>
        <w:tc>
          <w:tcPr>
            <w:tcW w:type="dxa" w:w="2000"/>
            <w:vAlign w:val="center"/>
          </w:tcPr>
          <w:p>
            <w:pPr>
              <w:spacing w:after="0"/>
            </w:pPr>
            <w:r>
              <w:rPr>
                <w:b w:val="false"/>
                <w:bCs w:val="false"/>
                <w:color w:val="1E293B"/>
                <w:sz w:val="20"/>
                <w:szCs w:val="20"/>
              </w:rPr>
              <w:t xml:space="preserve">Offices/Co-work</w:t>
            </w:r>
          </w:p>
        </w:tc>
        <w:tc>
          <w:tcPr>
            <w:tcW w:type="dxa" w:w="2000"/>
            <w:vAlign w:val="center"/>
          </w:tcPr>
          <w:p>
            <w:pPr>
              <w:spacing w:after="0"/>
            </w:pPr>
            <w:r>
              <w:rPr>
                <w:b w:val="false"/>
                <w:bCs w:val="false"/>
                <w:color w:val="1E293B"/>
                <w:sz w:val="20"/>
                <w:szCs w:val="20"/>
              </w:rPr>
              <w:t xml:space="preserve">Engineering hub</w:t>
            </w:r>
          </w:p>
        </w:tc>
        <w:tc>
          <w:tcPr>
            <w:tcW w:type="dxa" w:w="1200"/>
            <w:vAlign w:val="center"/>
          </w:tcPr>
          <w:p>
            <w:pPr>
              <w:spacing w:after="0"/>
            </w:pPr>
            <w:r>
              <w:rPr>
                <w:b w:val="false"/>
                <w:bCs w:val="false"/>
                <w:color w:val="1E293B"/>
                <w:sz w:val="20"/>
                <w:szCs w:val="20"/>
              </w:rPr>
              <w:t xml:space="preserve">Yes</w:t>
            </w:r>
          </w:p>
        </w:tc>
        <w:tc>
          <w:tcPr>
            <w:tcW w:type="dxa" w:w="1600"/>
            <w:vAlign w:val="center"/>
          </w:tcPr>
          <w:p>
            <w:pPr>
              <w:spacing w:after="0"/>
            </w:pPr>
            <w:r>
              <w:rPr>
                <w:b w:val="false"/>
                <w:bCs w:val="false"/>
                <w:color w:val="1E293B"/>
                <w:sz w:val="20"/>
                <w:szCs w:val="20"/>
              </w:rPr>
              <w:t xml:space="preserve">Held by WeWork</w:t>
            </w:r>
          </w:p>
        </w:tc>
      </w:tr>
      <w:tr>
        <w:trPr>
          <w:tblHeader w:val="false"/>
        </w:trPr>
        <w:tc>
          <w:tcPr>
            <w:tcW w:type="dxa" w:w="2400"/>
            <w:vAlign w:val="center"/>
          </w:tcPr>
          <w:p>
            <w:pPr>
              <w:spacing w:after="0"/>
            </w:pPr>
            <w:r>
              <w:rPr>
                <w:b w:val="false"/>
                <w:bCs w:val="false"/>
                <w:color w:val="1E293B"/>
                <w:sz w:val="20"/>
                <w:szCs w:val="20"/>
              </w:rPr>
              <w:t xml:space="preserve">Godrej BKC, Mumbai</w:t>
            </w:r>
          </w:p>
        </w:tc>
        <w:tc>
          <w:tcPr>
            <w:tcW w:type="dxa" w:w="1800"/>
            <w:vAlign w:val="center"/>
          </w:tcPr>
          <w:p>
            <w:pPr>
              <w:spacing w:after="0"/>
            </w:pPr>
            <w:r>
              <w:rPr>
                <w:b w:val="false"/>
                <w:bCs w:val="false"/>
                <w:color w:val="1E293B"/>
                <w:sz w:val="20"/>
                <w:szCs w:val="20"/>
              </w:rPr>
              <w:t xml:space="preserve">BKC Commercial</w:t>
            </w:r>
          </w:p>
        </w:tc>
        <w:tc>
          <w:tcPr>
            <w:tcW w:type="dxa" w:w="2000"/>
            <w:vAlign w:val="center"/>
          </w:tcPr>
          <w:p>
            <w:pPr>
              <w:spacing w:after="0"/>
            </w:pPr>
            <w:r>
              <w:rPr>
                <w:b w:val="false"/>
                <w:bCs w:val="false"/>
                <w:color w:val="1E293B"/>
                <w:sz w:val="20"/>
                <w:szCs w:val="20"/>
              </w:rPr>
              <w:t xml:space="preserve">IT/ITES/Finance</w:t>
            </w:r>
          </w:p>
        </w:tc>
        <w:tc>
          <w:tcPr>
            <w:tcW w:type="dxa" w:w="2000"/>
            <w:vAlign w:val="center"/>
          </w:tcPr>
          <w:p>
            <w:pPr>
              <w:spacing w:after="0"/>
            </w:pPr>
            <w:r>
              <w:rPr>
                <w:b w:val="false"/>
                <w:bCs w:val="false"/>
                <w:color w:val="1E293B"/>
                <w:sz w:val="20"/>
                <w:szCs w:val="20"/>
              </w:rPr>
              <w:t xml:space="preserve">Sales office</w:t>
            </w:r>
          </w:p>
        </w:tc>
        <w:tc>
          <w:tcPr>
            <w:tcW w:type="dxa" w:w="1200"/>
            <w:vAlign w:val="center"/>
          </w:tcPr>
          <w:p>
            <w:pPr>
              <w:spacing w:after="0"/>
            </w:pPr>
            <w:r>
              <w:rPr>
                <w:b w:val="false"/>
                <w:bCs w:val="false"/>
                <w:color w:val="1E293B"/>
                <w:sz w:val="20"/>
                <w:szCs w:val="20"/>
              </w:rPr>
              <w:t xml:space="preserve">Yes</w:t>
            </w:r>
          </w:p>
        </w:tc>
        <w:tc>
          <w:tcPr>
            <w:tcW w:type="dxa" w:w="1600"/>
            <w:vAlign w:val="center"/>
          </w:tcPr>
          <w:p>
            <w:pPr>
              <w:spacing w:after="0"/>
            </w:pPr>
            <w:r>
              <w:rPr>
                <w:b w:val="false"/>
                <w:bCs w:val="false"/>
                <w:color w:val="1E293B"/>
                <w:sz w:val="20"/>
                <w:szCs w:val="20"/>
              </w:rPr>
              <w:t xml:space="preserve">All current</w:t>
            </w:r>
          </w:p>
        </w:tc>
      </w:tr>
    </w:tbl>
    <w:p>
      <w:pPr>
        <w:spacing w:after="100"/>
      </w:pPr>
      <w:r>
        <w:rPr>
          <w:sz w:val="22"/>
          <w:szCs w:val="22"/>
        </w:rPr>
        <w:t xml:space="preserve"/>
      </w:r>
    </w:p>
    <w:p>
      <w:pPr>
        <w:spacing w:before="120" w:after="120"/>
      </w:pPr>
      <w:r>
        <w:rPr>
          <w:color w:val="CBD5E1"/>
          <w:sz w:val="18"/>
          <w:szCs w:val="18"/>
        </w:rPr>
        <w:t xml:space="preserve">────────────────────────────────────────────────────────────────────────</w:t>
      </w:r>
    </w:p>
    <w:p>
      <w:pPr>
        <w:pStyle w:val="Heading2"/>
        <w:spacing w:before="200" w:after="100"/>
      </w:pPr>
      <w:r>
        <w:rPr>
          <w:b/>
          <w:bCs/>
          <w:color w:val="7C2D12"/>
          <w:sz w:val="26"/>
          <w:szCs w:val="26"/>
        </w:rPr>
        <w:t xml:space="preserve">6. Environmental &amp; Sustainability Compliance</w:t>
      </w:r>
    </w:p>
    <w:p>
      <w:pPr>
        <w:pStyle w:val="ListParagraph"/>
        <w:numPr>
          <w:ilvl w:val="0"/>
          <w:numId w:val="2"/>
        </w:numPr>
        <w:spacing w:after="60"/>
      </w:pPr>
      <w:r>
        <w:rPr>
          <w:sz w:val="22"/>
          <w:szCs w:val="22"/>
        </w:rPr>
        <w:t xml:space="preserve">Karnataka State Pollution Control Board: IT/ITES offices are White Category — no NOC required</w:t>
      </w:r>
    </w:p>
    <w:p>
      <w:pPr>
        <w:pStyle w:val="ListParagraph"/>
        <w:numPr>
          <w:ilvl w:val="0"/>
          <w:numId w:val="2"/>
        </w:numPr>
        <w:spacing w:after="60"/>
      </w:pPr>
      <w:r>
        <w:rPr>
          <w:sz w:val="22"/>
          <w:szCs w:val="22"/>
        </w:rPr>
        <w:t xml:space="preserve">E-waste disposal: TechNova registered with authorised recycler (Attero Recycling Pvt. Ltd.) — E-Waste (Management) Rules 2016 compliant</w:t>
      </w:r>
    </w:p>
    <w:p>
      <w:pPr>
        <w:pStyle w:val="ListParagraph"/>
        <w:numPr>
          <w:ilvl w:val="0"/>
          <w:numId w:val="2"/>
        </w:numPr>
        <w:spacing w:after="60"/>
      </w:pPr>
      <w:r>
        <w:rPr>
          <w:sz w:val="22"/>
          <w:szCs w:val="22"/>
        </w:rPr>
        <w:t xml:space="preserve">Energy Conservation: BEE compliance — Prestige Tech Park has 5-star BEE rating</w:t>
      </w:r>
    </w:p>
    <w:p>
      <w:pPr>
        <w:pStyle w:val="ListParagraph"/>
        <w:numPr>
          <w:ilvl w:val="0"/>
          <w:numId w:val="2"/>
        </w:numPr>
        <w:spacing w:after="60"/>
      </w:pPr>
      <w:r>
        <w:rPr>
          <w:sz w:val="22"/>
          <w:szCs w:val="22"/>
        </w:rPr>
        <w:t xml:space="preserve">No hazardous material stored at any office — standard office operations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2026-03-07T06:45:06.960Z</dcterms:created>
  <dcterms:modified xsi:type="dcterms:W3CDTF">2026-03-07T06:45:06.961Z</dcterms:modified>
</cp:coreProperties>
</file>

<file path=docProps/custom.xml><?xml version="1.0" encoding="utf-8"?>
<Properties xmlns="http://schemas.openxmlformats.org/officeDocument/2006/custom-properties" xmlns:vt="http://schemas.openxmlformats.org/officeDocument/2006/docPropsVTypes"/>
</file>