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Corporate Governance &amp; Legal Structure</w:t>
      </w:r>
    </w:p>
    <w:p>
      <w:pPr>
        <w:spacing w:after="100"/>
      </w:pPr>
      <w:r>
        <w:rPr>
          <w:sz w:val="22"/>
          <w:szCs w:val="22"/>
        </w:rPr>
        <w:t xml:space="preserve">Module: Land &amp; Legal | Slot: Governance | As at 31 March 2025 | Board Approved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1. Corporate Structure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Legal Entity: </w:t>
      </w:r>
      <w:r>
        <w:rPr>
          <w:sz w:val="22"/>
          <w:szCs w:val="22"/>
        </w:rPr>
        <w:t xml:space="preserve">TechNova Solutions Private Limited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CIN: </w:t>
      </w:r>
      <w:r>
        <w:rPr>
          <w:sz w:val="22"/>
          <w:szCs w:val="22"/>
        </w:rPr>
        <w:t xml:space="preserve">U72900KA2019PTC118453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 of Incorporation: </w:t>
      </w:r>
      <w:r>
        <w:rPr>
          <w:sz w:val="22"/>
          <w:szCs w:val="22"/>
        </w:rPr>
        <w:t xml:space="preserve">14 February 2019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Registered Office: </w:t>
      </w:r>
      <w:r>
        <w:rPr>
          <w:sz w:val="22"/>
          <w:szCs w:val="22"/>
        </w:rPr>
        <w:t xml:space="preserve">Prestige Tech Park, Tower B, 4th Floor, Outer Ring Road, Marathahalli, Bengaluru — 560103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ROC: </w:t>
      </w:r>
      <w:r>
        <w:rPr>
          <w:sz w:val="22"/>
          <w:szCs w:val="22"/>
        </w:rPr>
        <w:t xml:space="preserve">Registrar of Companies, Karnataka (Bengaluru)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Share Capital (Authorised): </w:t>
      </w:r>
      <w:r>
        <w:rPr>
          <w:sz w:val="22"/>
          <w:szCs w:val="22"/>
        </w:rPr>
        <w:t xml:space="preserve">₹5,00,00,000 (5 crore equity shares of ₹1 each)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Share Capital (Paid-up): </w:t>
      </w:r>
      <w:r>
        <w:rPr>
          <w:sz w:val="22"/>
          <w:szCs w:val="22"/>
        </w:rPr>
        <w:t xml:space="preserve">₹3,84,20,000 (3,84,20,000 equity shares of ₹1 each)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Subsidiary / Associates: </w:t>
      </w:r>
      <w:r>
        <w:rPr>
          <w:sz w:val="22"/>
          <w:szCs w:val="22"/>
        </w:rPr>
        <w:t xml:space="preserve">NIL — standalone company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2. Shareholding Pattern (March 2025)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Shareholder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Shares</w:t>
            </w:r>
          </w:p>
        </w:tc>
        <w:tc>
          <w:tcPr>
            <w:tcW w:type="dxa" w:w="1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Holding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Promoter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1,06,24,000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27.65%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Promoter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84,92,000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22.10%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Vikram Nair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Promoter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60,64,000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15.78%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Elevation Capital India V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21.87%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Beenext Pte. Ltd.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22,40,000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5.83%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Angel Investors (8)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Individual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12,60,000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3.28%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ESOP Pool (unissued)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Employee Reserve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13,40,000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3.49%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3,84,20,000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100.00%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3. Board of Directors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Director</w:t>
            </w:r>
          </w:p>
        </w:tc>
        <w:tc>
          <w:tcPr>
            <w:tcW w:type="dxa" w:w="1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DIN</w:t>
            </w:r>
          </w:p>
        </w:tc>
        <w:tc>
          <w:tcPr>
            <w:tcW w:type="dxa" w:w="2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of Appointment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08234521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Managing Director &amp; CEO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Executive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 Feb 2019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08234522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Whole-time Director &amp; CTO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Executive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 Feb 2019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Vikram Nair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08234523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Whole-time Director &amp; CFO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Executive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 Feb 2019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Ananya Krishnamurthy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07654312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Director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Investor Nominee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 Mar 2021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Rohit Bhatia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06123456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Director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Investor Nominee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 Mar 2021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Prof. Sunita Rao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07891234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Independent Director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Apr 2022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4. Board Committees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4.1 Audit Committee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Chair: </w:t>
      </w:r>
      <w:r>
        <w:rPr>
          <w:sz w:val="22"/>
          <w:szCs w:val="22"/>
        </w:rPr>
        <w:t xml:space="preserve">Prof. Sunita Rao (Independent Director)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Members: </w:t>
      </w:r>
      <w:r>
        <w:rPr>
          <w:sz w:val="22"/>
          <w:szCs w:val="22"/>
        </w:rPr>
        <w:t xml:space="preserve">Rohit Bhatia, Vikram Nair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Meetings FY2024-25: </w:t>
      </w:r>
      <w:r>
        <w:rPr>
          <w:sz w:val="22"/>
          <w:szCs w:val="22"/>
        </w:rPr>
        <w:t xml:space="preserve">4 meetings held (quarterly) — all members attended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Responsibilities: </w:t>
      </w:r>
      <w:r>
        <w:rPr>
          <w:sz w:val="22"/>
          <w:szCs w:val="22"/>
        </w:rPr>
        <w:t xml:space="preserve">Financial statements, audit appointment, related-party transactions, internal controls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4.2 Compensation &amp; ESOP Committee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Chair: </w:t>
      </w:r>
      <w:r>
        <w:rPr>
          <w:sz w:val="22"/>
          <w:szCs w:val="22"/>
        </w:rPr>
        <w:t xml:space="preserve">Ananya Krishnamurthy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Members: </w:t>
      </w:r>
      <w:r>
        <w:rPr>
          <w:sz w:val="22"/>
          <w:szCs w:val="22"/>
        </w:rPr>
        <w:t xml:space="preserve">Arjun Mehta, Prof. Sunita Rao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Meetings FY2024-25: </w:t>
      </w:r>
      <w:r>
        <w:rPr>
          <w:sz w:val="22"/>
          <w:szCs w:val="22"/>
        </w:rPr>
        <w:t xml:space="preserve">3 meetings — ESOP grant approvals and salary benchmarking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4.3 Risk Committee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Chair: </w:t>
      </w:r>
      <w:r>
        <w:rPr>
          <w:sz w:val="22"/>
          <w:szCs w:val="22"/>
        </w:rPr>
        <w:t xml:space="preserve">Arjun Mehta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Members: </w:t>
      </w:r>
      <w:r>
        <w:rPr>
          <w:sz w:val="22"/>
          <w:szCs w:val="22"/>
        </w:rPr>
        <w:t xml:space="preserve">Priya Sharma, Vikram Nair, Prof. Sunita Rao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Meetings FY2024-25: </w:t>
      </w:r>
      <w:r>
        <w:rPr>
          <w:sz w:val="22"/>
          <w:szCs w:val="22"/>
        </w:rPr>
        <w:t xml:space="preserve">4 meetings — risk register review, cyber security, regulatory updates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5. Statutory Compliance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Compliance Item</w:t>
            </w:r>
          </w:p>
        </w:tc>
        <w:tc>
          <w:tcPr>
            <w:tcW w:type="dxa" w:w="1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 Return (MGT-7)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 days from AGM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Filed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FY2023-24 filed Oct 2024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Financial Statements (AOC-4)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days from AGM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Filed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FY2023-24 filed Sep 2024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Board Meetings (min 4)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Quarterly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Quarterly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Complied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meetings held FY2024-25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AGM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Sep 2024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Held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AGM held 20 Sep 2024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DIN KYC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Sep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Complied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6 directors completed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MSME Form 1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Half-yearly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31 Oct / 30 Apr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Complied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Both half-years filed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DIR-3 KYC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Sep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Complied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directors compliant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6. Related Party Transactions FY2024-25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Policy: </w:t>
      </w:r>
      <w:r>
        <w:rPr>
          <w:sz w:val="22"/>
          <w:szCs w:val="22"/>
        </w:rPr>
        <w:t xml:space="preserve">RPT Policy approved by Board — transactions above ₹1 crore require Audit Committee approval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Related Party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Nature of Transaction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  <w:tc>
          <w:tcPr>
            <w:tcW w:type="dxa" w:w="1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TechNova ESOP Trust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Associate entity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ESOP shares transfer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18,60,000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Board approved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Founders (salary &amp; bonus)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KMP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Managerial remuneration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2,40,00,000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Shareholder resolution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Elevation Capital India V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Investor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Investor director sitting fee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Audit Committee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7. Pending Regulatory Actions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MCA: </w:t>
      </w:r>
      <w:r>
        <w:rPr>
          <w:sz w:val="22"/>
          <w:szCs w:val="22"/>
        </w:rPr>
        <w:t xml:space="preserve">NIL — no show cause notices, compounding applications, or strike-off risks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ROC Inspection: </w:t>
      </w:r>
      <w:r>
        <w:rPr>
          <w:sz w:val="22"/>
          <w:szCs w:val="22"/>
        </w:rPr>
        <w:t xml:space="preserve">No inspection or inquiry initiated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SEBI: </w:t>
      </w:r>
      <w:r>
        <w:rPr>
          <w:sz w:val="22"/>
          <w:szCs w:val="22"/>
        </w:rPr>
        <w:t xml:space="preserve">Not applicable — private company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RBI / FEMA: </w:t>
      </w:r>
      <w:r>
        <w:rPr>
          <w:sz w:val="22"/>
          <w:szCs w:val="22"/>
        </w:rPr>
        <w:t xml:space="preserve">NIL — FEMA compliance maintained; all FC-GPR / FC-TRS filings current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Overall Governance Rating: </w:t>
      </w:r>
      <w:r>
        <w:rPr>
          <w:sz w:val="22"/>
          <w:szCs w:val="22"/>
        </w:rPr>
        <w:t xml:space="preserve">Strong — no material compliance gaps identified in FY2024-25 governance review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2026-03-07T06:45:07.157Z</dcterms:created>
  <dcterms:modified xsi:type="dcterms:W3CDTF">2026-03-07T06:45:07.157Z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