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b/>
          <w:bCs/>
          <w:color w:val="1A2755"/>
          <w:sz w:val="32"/>
          <w:szCs w:val="32"/>
        </w:rPr>
        <w:t xml:space="preserve">TechNova Solutions Pvt. Ltd. — Property Ownership Register</w:t>
      </w:r>
    </w:p>
    <w:p>
      <w:pPr>
        <w:spacing w:after="100"/>
      </w:pPr>
      <w:r>
        <w:rPr>
          <w:sz w:val="22"/>
          <w:szCs w:val="22"/>
        </w:rPr>
        <w:t xml:space="preserve">Module: Land &amp; Legal | Slot: Ownership | As at 31 March 2025 | Confidential</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1. Overview of Property Holdings</w:t>
      </w:r>
    </w:p>
    <w:p>
      <w:pPr>
        <w:spacing w:after="100"/>
      </w:pPr>
      <w:r>
        <w:rPr>
          <w:sz w:val="22"/>
          <w:szCs w:val="22"/>
        </w:rPr>
        <w:t xml:space="preserve">TechNova Solutions does not own any freehold land or commercial property. All office premises are held under registered lease agreements. The company operates from three leased offices and maintains server infrastructure on co-location and cloud (AWS). The following register documents all property interests.</w:t>
      </w:r>
    </w:p>
    <w:p>
      <w:pPr>
        <w:spacing w:after="80"/>
      </w:pPr>
      <w:r>
        <w:rPr>
          <w:b/>
          <w:bCs/>
          <w:sz w:val="22"/>
          <w:szCs w:val="22"/>
        </w:rPr>
        <w:t xml:space="preserve">Owned Properties: </w:t>
      </w:r>
      <w:r>
        <w:rPr>
          <w:sz w:val="22"/>
          <w:szCs w:val="22"/>
        </w:rPr>
        <w:t xml:space="preserve">NIL — asset-light model</w:t>
      </w:r>
    </w:p>
    <w:p>
      <w:pPr>
        <w:spacing w:after="80"/>
      </w:pPr>
      <w:r>
        <w:rPr>
          <w:b/>
          <w:bCs/>
          <w:sz w:val="22"/>
          <w:szCs w:val="22"/>
        </w:rPr>
        <w:t xml:space="preserve">Leased Offices: </w:t>
      </w:r>
      <w:r>
        <w:rPr>
          <w:sz w:val="22"/>
          <w:szCs w:val="22"/>
        </w:rPr>
        <w:t xml:space="preserve">3 (Bengaluru — 2 locations, Mumbai — 1 location)</w:t>
      </w:r>
    </w:p>
    <w:p>
      <w:pPr>
        <w:spacing w:after="80"/>
      </w:pPr>
      <w:r>
        <w:rPr>
          <w:b/>
          <w:bCs/>
          <w:sz w:val="22"/>
          <w:szCs w:val="22"/>
        </w:rPr>
        <w:t xml:space="preserve">Co-location Data Centre: </w:t>
      </w:r>
      <w:r>
        <w:rPr>
          <w:sz w:val="22"/>
          <w:szCs w:val="22"/>
        </w:rPr>
        <w:t xml:space="preserve">1 (STT GDC, Bengaluru — rack lease)</w:t>
      </w:r>
    </w:p>
    <w:p>
      <w:pPr>
        <w:spacing w:after="80"/>
      </w:pPr>
      <w:r>
        <w:rPr>
          <w:b/>
          <w:bCs/>
          <w:sz w:val="22"/>
          <w:szCs w:val="22"/>
        </w:rPr>
        <w:t xml:space="preserve">Total Occupied Area: </w:t>
      </w:r>
      <w:r>
        <w:rPr>
          <w:sz w:val="22"/>
          <w:szCs w:val="22"/>
        </w:rPr>
        <w:t xml:space="preserve">Approx. 18,400 sq. ft. (leased)</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2. Office Lease — Primary HQ (Bengaluru)</w:t>
      </w:r>
    </w:p>
    <w:p>
      <w:pPr>
        <w:spacing w:after="80"/>
      </w:pPr>
      <w:r>
        <w:rPr>
          <w:b/>
          <w:bCs/>
          <w:sz w:val="22"/>
          <w:szCs w:val="22"/>
        </w:rPr>
        <w:t xml:space="preserve">Property Name: </w:t>
      </w:r>
      <w:r>
        <w:rPr>
          <w:sz w:val="22"/>
          <w:szCs w:val="22"/>
        </w:rPr>
        <w:t xml:space="preserve">Prestige Tech Park, Tower B, 4th Floor</w:t>
      </w:r>
    </w:p>
    <w:p>
      <w:pPr>
        <w:spacing w:after="80"/>
      </w:pPr>
      <w:r>
        <w:rPr>
          <w:b/>
          <w:bCs/>
          <w:sz w:val="22"/>
          <w:szCs w:val="22"/>
        </w:rPr>
        <w:t xml:space="preserve">Location: </w:t>
      </w:r>
      <w:r>
        <w:rPr>
          <w:sz w:val="22"/>
          <w:szCs w:val="22"/>
        </w:rPr>
        <w:t xml:space="preserve">Outer Ring Road, Marathahalli, Bengaluru — 560103</w:t>
      </w:r>
    </w:p>
    <w:p>
      <w:pPr>
        <w:spacing w:after="80"/>
      </w:pPr>
      <w:r>
        <w:rPr>
          <w:b/>
          <w:bCs/>
          <w:sz w:val="22"/>
          <w:szCs w:val="22"/>
        </w:rPr>
        <w:t xml:space="preserve">Lessor: </w:t>
      </w:r>
      <w:r>
        <w:rPr>
          <w:sz w:val="22"/>
          <w:szCs w:val="22"/>
        </w:rPr>
        <w:t xml:space="preserve">Prestige Estates Projects Ltd.</w:t>
      </w:r>
    </w:p>
    <w:p>
      <w:pPr>
        <w:spacing w:after="80"/>
      </w:pPr>
      <w:r>
        <w:rPr>
          <w:b/>
          <w:bCs/>
          <w:sz w:val="22"/>
          <w:szCs w:val="22"/>
        </w:rPr>
        <w:t xml:space="preserve">Area: </w:t>
      </w:r>
      <w:r>
        <w:rPr>
          <w:sz w:val="22"/>
          <w:szCs w:val="22"/>
        </w:rPr>
        <w:t xml:space="preserve">12,200 sq. ft. (inclusive of common areas)</w:t>
      </w:r>
    </w:p>
    <w:p>
      <w:pPr>
        <w:spacing w:after="80"/>
      </w:pPr>
      <w:r>
        <w:rPr>
          <w:b/>
          <w:bCs/>
          <w:sz w:val="22"/>
          <w:szCs w:val="22"/>
        </w:rPr>
        <w:t xml:space="preserve">Survey / Khata No.: </w:t>
      </w:r>
      <w:r>
        <w:rPr>
          <w:sz w:val="22"/>
          <w:szCs w:val="22"/>
        </w:rPr>
        <w:t xml:space="preserve">Survey No. 84/1, Hobli: Varthur, Bengaluru Urban</w:t>
      </w:r>
    </w:p>
    <w:p>
      <w:pPr>
        <w:spacing w:after="80"/>
      </w:pPr>
      <w:r>
        <w:rPr>
          <w:b/>
          <w:bCs/>
          <w:sz w:val="22"/>
          <w:szCs w:val="22"/>
        </w:rPr>
        <w:t xml:space="preserve">Property Classification: </w:t>
      </w:r>
      <w:r>
        <w:rPr>
          <w:sz w:val="22"/>
          <w:szCs w:val="22"/>
        </w:rPr>
        <w:t xml:space="preserve">Commercial — IT/ITES SEZ notified property</w:t>
      </w:r>
    </w:p>
    <w:p>
      <w:pPr>
        <w:spacing w:after="80"/>
      </w:pPr>
      <w:r>
        <w:rPr>
          <w:b/>
          <w:bCs/>
          <w:sz w:val="22"/>
          <w:szCs w:val="22"/>
        </w:rPr>
        <w:t xml:space="preserve">Lease Commencement: </w:t>
      </w:r>
      <w:r>
        <w:rPr>
          <w:sz w:val="22"/>
          <w:szCs w:val="22"/>
        </w:rPr>
        <w:t xml:space="preserve">1 April 2021</w:t>
      </w:r>
    </w:p>
    <w:p>
      <w:pPr>
        <w:spacing w:after="80"/>
      </w:pPr>
      <w:r>
        <w:rPr>
          <w:b/>
          <w:bCs/>
          <w:sz w:val="22"/>
          <w:szCs w:val="22"/>
        </w:rPr>
        <w:t xml:space="preserve">Lease Expiry: </w:t>
      </w:r>
      <w:r>
        <w:rPr>
          <w:sz w:val="22"/>
          <w:szCs w:val="22"/>
        </w:rPr>
        <w:t xml:space="preserve">31 March 2027 (6-year lease)</w:t>
      </w:r>
    </w:p>
    <w:p>
      <w:pPr>
        <w:spacing w:after="80"/>
      </w:pPr>
      <w:r>
        <w:rPr>
          <w:b/>
          <w:bCs/>
          <w:sz w:val="22"/>
          <w:szCs w:val="22"/>
        </w:rPr>
        <w:t xml:space="preserve">Monthly Rent: </w:t>
      </w:r>
      <w:r>
        <w:rPr>
          <w:sz w:val="22"/>
          <w:szCs w:val="22"/>
        </w:rPr>
        <w:t xml:space="preserve">₹18,30,000 + GST (escalation 5% per annum from Year 3)</w:t>
      </w:r>
    </w:p>
    <w:p>
      <w:pPr>
        <w:spacing w:after="80"/>
      </w:pPr>
      <w:r>
        <w:rPr>
          <w:b/>
          <w:bCs/>
          <w:sz w:val="22"/>
          <w:szCs w:val="22"/>
        </w:rPr>
        <w:t xml:space="preserve">Security Deposit: </w:t>
      </w:r>
      <w:r>
        <w:rPr>
          <w:sz w:val="22"/>
          <w:szCs w:val="22"/>
        </w:rPr>
        <w:t xml:space="preserve">₹1,09,80,000 (6 months' rent — refundable)</w:t>
      </w:r>
    </w:p>
    <w:p>
      <w:pPr>
        <w:spacing w:after="80"/>
      </w:pPr>
      <w:r>
        <w:rPr>
          <w:b/>
          <w:bCs/>
          <w:sz w:val="22"/>
          <w:szCs w:val="22"/>
        </w:rPr>
        <w:t xml:space="preserve">Lease Registration: </w:t>
      </w:r>
      <w:r>
        <w:rPr>
          <w:sz w:val="22"/>
          <w:szCs w:val="22"/>
        </w:rPr>
        <w:t xml:space="preserve">Registered — Sub-Registrar Marathahalli, Doc No. BLR/2021/4821</w:t>
      </w:r>
    </w:p>
    <w:p>
      <w:pPr>
        <w:spacing w:after="80"/>
      </w:pPr>
      <w:r>
        <w:rPr>
          <w:b/>
          <w:bCs/>
          <w:sz w:val="22"/>
          <w:szCs w:val="22"/>
        </w:rPr>
        <w:t xml:space="preserve">Lock-in Period: </w:t>
      </w:r>
      <w:r>
        <w:rPr>
          <w:sz w:val="22"/>
          <w:szCs w:val="22"/>
        </w:rPr>
        <w:t xml:space="preserve">3 years (expired March 2024 — now flexible with 6-month notice)</w:t>
      </w:r>
    </w:p>
    <w:p>
      <w:pPr>
        <w:spacing w:after="80"/>
      </w:pPr>
      <w:r>
        <w:rPr>
          <w:b/>
          <w:bCs/>
          <w:sz w:val="22"/>
          <w:szCs w:val="22"/>
        </w:rPr>
        <w:t xml:space="preserve">Fit-out Ownership: </w:t>
      </w:r>
      <w:r>
        <w:rPr>
          <w:sz w:val="22"/>
          <w:szCs w:val="22"/>
        </w:rPr>
        <w:t xml:space="preserve">Fit-out worth ₹62,00,000 — owned by TechNova, reversionary clause applies</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3. Office Lease — Secondary (Bengaluru)</w:t>
      </w:r>
    </w:p>
    <w:p>
      <w:pPr>
        <w:spacing w:after="80"/>
      </w:pPr>
      <w:r>
        <w:rPr>
          <w:b/>
          <w:bCs/>
          <w:sz w:val="22"/>
          <w:szCs w:val="22"/>
        </w:rPr>
        <w:t xml:space="preserve">Property Name: </w:t>
      </w:r>
      <w:r>
        <w:rPr>
          <w:sz w:val="22"/>
          <w:szCs w:val="22"/>
        </w:rPr>
        <w:t xml:space="preserve">WeWork Galaxy, Residency Road</w:t>
      </w:r>
    </w:p>
    <w:p>
      <w:pPr>
        <w:spacing w:after="80"/>
      </w:pPr>
      <w:r>
        <w:rPr>
          <w:b/>
          <w:bCs/>
          <w:sz w:val="22"/>
          <w:szCs w:val="22"/>
        </w:rPr>
        <w:t xml:space="preserve">Location: </w:t>
      </w:r>
      <w:r>
        <w:rPr>
          <w:sz w:val="22"/>
          <w:szCs w:val="22"/>
        </w:rPr>
        <w:t xml:space="preserve">46, Residency Road, Bengaluru — 560025</w:t>
      </w:r>
    </w:p>
    <w:p>
      <w:pPr>
        <w:spacing w:after="80"/>
      </w:pPr>
      <w:r>
        <w:rPr>
          <w:b/>
          <w:bCs/>
          <w:sz w:val="22"/>
          <w:szCs w:val="22"/>
        </w:rPr>
        <w:t xml:space="preserve">Lessor: </w:t>
      </w:r>
      <w:r>
        <w:rPr>
          <w:sz w:val="22"/>
          <w:szCs w:val="22"/>
        </w:rPr>
        <w:t xml:space="preserve">WeWork India Management Pvt. Ltd.</w:t>
      </w:r>
    </w:p>
    <w:p>
      <w:pPr>
        <w:spacing w:after="80"/>
      </w:pPr>
      <w:r>
        <w:rPr>
          <w:b/>
          <w:bCs/>
          <w:sz w:val="22"/>
          <w:szCs w:val="22"/>
        </w:rPr>
        <w:t xml:space="preserve">Area: </w:t>
      </w:r>
      <w:r>
        <w:rPr>
          <w:sz w:val="22"/>
          <w:szCs w:val="22"/>
        </w:rPr>
        <w:t xml:space="preserve">3,600 sq. ft. (managed office — 72 dedicated desks)</w:t>
      </w:r>
    </w:p>
    <w:p>
      <w:pPr>
        <w:spacing w:after="80"/>
      </w:pPr>
      <w:r>
        <w:rPr>
          <w:b/>
          <w:bCs/>
          <w:sz w:val="22"/>
          <w:szCs w:val="22"/>
        </w:rPr>
        <w:t xml:space="preserve">Lease Commencement: </w:t>
      </w:r>
      <w:r>
        <w:rPr>
          <w:sz w:val="22"/>
          <w:szCs w:val="22"/>
        </w:rPr>
        <w:t xml:space="preserve">1 January 2024</w:t>
      </w:r>
    </w:p>
    <w:p>
      <w:pPr>
        <w:spacing w:after="80"/>
      </w:pPr>
      <w:r>
        <w:rPr>
          <w:b/>
          <w:bCs/>
          <w:sz w:val="22"/>
          <w:szCs w:val="22"/>
        </w:rPr>
        <w:t xml:space="preserve">Lease Expiry: </w:t>
      </w:r>
      <w:r>
        <w:rPr>
          <w:sz w:val="22"/>
          <w:szCs w:val="22"/>
        </w:rPr>
        <w:t xml:space="preserve">31 December 2025 (2-year agreement, renewable)</w:t>
      </w:r>
    </w:p>
    <w:p>
      <w:pPr>
        <w:spacing w:after="80"/>
      </w:pPr>
      <w:r>
        <w:rPr>
          <w:b/>
          <w:bCs/>
          <w:sz w:val="22"/>
          <w:szCs w:val="22"/>
        </w:rPr>
        <w:t xml:space="preserve">Monthly Cost: </w:t>
      </w:r>
      <w:r>
        <w:rPr>
          <w:sz w:val="22"/>
          <w:szCs w:val="22"/>
        </w:rPr>
        <w:t xml:space="preserve">₹4,68,000 (includes furniture, internet, utilities)</w:t>
      </w:r>
    </w:p>
    <w:p>
      <w:pPr>
        <w:spacing w:after="80"/>
      </w:pPr>
      <w:r>
        <w:rPr>
          <w:b/>
          <w:bCs/>
          <w:sz w:val="22"/>
          <w:szCs w:val="22"/>
        </w:rPr>
        <w:t xml:space="preserve">Security Deposit: </w:t>
      </w:r>
      <w:r>
        <w:rPr>
          <w:sz w:val="22"/>
          <w:szCs w:val="22"/>
        </w:rPr>
        <w:t xml:space="preserve">₹9,36,000 (2 months — refundable)</w:t>
      </w:r>
    </w:p>
    <w:p>
      <w:pPr>
        <w:spacing w:after="80"/>
      </w:pPr>
      <w:r>
        <w:rPr>
          <w:b/>
          <w:bCs/>
          <w:sz w:val="22"/>
          <w:szCs w:val="22"/>
        </w:rPr>
        <w:t xml:space="preserve">Agreement Type: </w:t>
      </w:r>
      <w:r>
        <w:rPr>
          <w:sz w:val="22"/>
          <w:szCs w:val="22"/>
        </w:rPr>
        <w:t xml:space="preserve">Managed Office Agreement — not required to be registered</w:t>
      </w:r>
    </w:p>
    <w:p>
      <w:pPr>
        <w:spacing w:after="80"/>
      </w:pPr>
      <w:r>
        <w:rPr>
          <w:b/>
          <w:bCs/>
          <w:sz w:val="22"/>
          <w:szCs w:val="22"/>
        </w:rPr>
        <w:t xml:space="preserve">Purpose: </w:t>
      </w:r>
      <w:r>
        <w:rPr>
          <w:sz w:val="22"/>
          <w:szCs w:val="22"/>
        </w:rPr>
        <w:t xml:space="preserve">Engineering team overflow + client meeting space</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4. Office Lease — Mumbai</w:t>
      </w:r>
    </w:p>
    <w:p>
      <w:pPr>
        <w:spacing w:after="80"/>
      </w:pPr>
      <w:r>
        <w:rPr>
          <w:b/>
          <w:bCs/>
          <w:sz w:val="22"/>
          <w:szCs w:val="22"/>
        </w:rPr>
        <w:t xml:space="preserve">Property Name: </w:t>
      </w:r>
      <w:r>
        <w:rPr>
          <w:sz w:val="22"/>
          <w:szCs w:val="22"/>
        </w:rPr>
        <w:t xml:space="preserve">Godrej BKC, Unit 802, 8th Floor</w:t>
      </w:r>
    </w:p>
    <w:p>
      <w:pPr>
        <w:spacing w:after="80"/>
      </w:pPr>
      <w:r>
        <w:rPr>
          <w:b/>
          <w:bCs/>
          <w:sz w:val="22"/>
          <w:szCs w:val="22"/>
        </w:rPr>
        <w:t xml:space="preserve">Location: </w:t>
      </w:r>
      <w:r>
        <w:rPr>
          <w:sz w:val="22"/>
          <w:szCs w:val="22"/>
        </w:rPr>
        <w:t xml:space="preserve">Bandra Kurla Complex, Mumbai — 400051</w:t>
      </w:r>
    </w:p>
    <w:p>
      <w:pPr>
        <w:spacing w:after="80"/>
      </w:pPr>
      <w:r>
        <w:rPr>
          <w:b/>
          <w:bCs/>
          <w:sz w:val="22"/>
          <w:szCs w:val="22"/>
        </w:rPr>
        <w:t xml:space="preserve">Lessor: </w:t>
      </w:r>
      <w:r>
        <w:rPr>
          <w:sz w:val="22"/>
          <w:szCs w:val="22"/>
        </w:rPr>
        <w:t xml:space="preserve">Godrej Properties Ltd.</w:t>
      </w:r>
    </w:p>
    <w:p>
      <w:pPr>
        <w:spacing w:after="80"/>
      </w:pPr>
      <w:r>
        <w:rPr>
          <w:b/>
          <w:bCs/>
          <w:sz w:val="22"/>
          <w:szCs w:val="22"/>
        </w:rPr>
        <w:t xml:space="preserve">Area: </w:t>
      </w:r>
      <w:r>
        <w:rPr>
          <w:sz w:val="22"/>
          <w:szCs w:val="22"/>
        </w:rPr>
        <w:t xml:space="preserve">2,600 sq. ft.</w:t>
      </w:r>
    </w:p>
    <w:p>
      <w:pPr>
        <w:spacing w:after="80"/>
      </w:pPr>
      <w:r>
        <w:rPr>
          <w:b/>
          <w:bCs/>
          <w:sz w:val="22"/>
          <w:szCs w:val="22"/>
        </w:rPr>
        <w:t xml:space="preserve">Survey No.: </w:t>
      </w:r>
      <w:r>
        <w:rPr>
          <w:sz w:val="22"/>
          <w:szCs w:val="22"/>
        </w:rPr>
        <w:t xml:space="preserve">CTS No. 2/141, Bandra (East), Mumbai Suburban</w:t>
      </w:r>
    </w:p>
    <w:p>
      <w:pPr>
        <w:spacing w:after="80"/>
      </w:pPr>
      <w:r>
        <w:rPr>
          <w:b/>
          <w:bCs/>
          <w:sz w:val="22"/>
          <w:szCs w:val="22"/>
        </w:rPr>
        <w:t xml:space="preserve">Lease Commencement: </w:t>
      </w:r>
      <w:r>
        <w:rPr>
          <w:sz w:val="22"/>
          <w:szCs w:val="22"/>
        </w:rPr>
        <w:t xml:space="preserve">1 July 2022</w:t>
      </w:r>
    </w:p>
    <w:p>
      <w:pPr>
        <w:spacing w:after="80"/>
      </w:pPr>
      <w:r>
        <w:rPr>
          <w:b/>
          <w:bCs/>
          <w:sz w:val="22"/>
          <w:szCs w:val="22"/>
        </w:rPr>
        <w:t xml:space="preserve">Lease Expiry: </w:t>
      </w:r>
      <w:r>
        <w:rPr>
          <w:sz w:val="22"/>
          <w:szCs w:val="22"/>
        </w:rPr>
        <w:t xml:space="preserve">30 June 2025 (3-year term — renewal in negotiation)</w:t>
      </w:r>
    </w:p>
    <w:p>
      <w:pPr>
        <w:spacing w:after="80"/>
      </w:pPr>
      <w:r>
        <w:rPr>
          <w:b/>
          <w:bCs/>
          <w:sz w:val="22"/>
          <w:szCs w:val="22"/>
        </w:rPr>
        <w:t xml:space="preserve">Monthly Rent: </w:t>
      </w:r>
      <w:r>
        <w:rPr>
          <w:sz w:val="22"/>
          <w:szCs w:val="22"/>
        </w:rPr>
        <w:t xml:space="preserve">₹3,64,000 + GST (5% escalation annually)</w:t>
      </w:r>
    </w:p>
    <w:p>
      <w:pPr>
        <w:spacing w:after="80"/>
      </w:pPr>
      <w:r>
        <w:rPr>
          <w:b/>
          <w:bCs/>
          <w:sz w:val="22"/>
          <w:szCs w:val="22"/>
        </w:rPr>
        <w:t xml:space="preserve">Security Deposit: </w:t>
      </w:r>
      <w:r>
        <w:rPr>
          <w:sz w:val="22"/>
          <w:szCs w:val="22"/>
        </w:rPr>
        <w:t xml:space="preserve">₹21,84,000 (6 months)</w:t>
      </w:r>
    </w:p>
    <w:p>
      <w:pPr>
        <w:spacing w:after="80"/>
      </w:pPr>
      <w:r>
        <w:rPr>
          <w:b/>
          <w:bCs/>
          <w:sz w:val="22"/>
          <w:szCs w:val="22"/>
        </w:rPr>
        <w:t xml:space="preserve">Lease Registration: </w:t>
      </w:r>
      <w:r>
        <w:rPr>
          <w:sz w:val="22"/>
          <w:szCs w:val="22"/>
        </w:rPr>
        <w:t xml:space="preserve">Registered — Sub-Registrar BKC, Doc No. MH/BKC/2022/0982</w:t>
      </w:r>
    </w:p>
    <w:p>
      <w:pPr>
        <w:spacing w:after="80"/>
      </w:pPr>
      <w:r>
        <w:rPr>
          <w:b/>
          <w:bCs/>
          <w:sz w:val="22"/>
          <w:szCs w:val="22"/>
        </w:rPr>
        <w:t xml:space="preserve">Status: </w:t>
      </w:r>
      <w:r>
        <w:rPr>
          <w:sz w:val="22"/>
          <w:szCs w:val="22"/>
        </w:rPr>
        <w:t xml:space="preserve">Renewal negotiation in progress — term sheet received April 2025</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5. Data Centre — Co-location Rack Lease</w:t>
      </w:r>
    </w:p>
    <w:p>
      <w:pPr>
        <w:spacing w:after="80"/>
      </w:pPr>
      <w:r>
        <w:rPr>
          <w:b/>
          <w:bCs/>
          <w:sz w:val="22"/>
          <w:szCs w:val="22"/>
        </w:rPr>
        <w:t xml:space="preserve">Facility: </w:t>
      </w:r>
      <w:r>
        <w:rPr>
          <w:sz w:val="22"/>
          <w:szCs w:val="22"/>
        </w:rPr>
        <w:t xml:space="preserve">STT GDC India, Bangalore Data Centre — ITPB Road</w:t>
      </w:r>
    </w:p>
    <w:p>
      <w:pPr>
        <w:spacing w:after="80"/>
      </w:pPr>
      <w:r>
        <w:rPr>
          <w:b/>
          <w:bCs/>
          <w:sz w:val="22"/>
          <w:szCs w:val="22"/>
        </w:rPr>
        <w:t xml:space="preserve">Agreement Type: </w:t>
      </w:r>
      <w:r>
        <w:rPr>
          <w:sz w:val="22"/>
          <w:szCs w:val="22"/>
        </w:rPr>
        <w:t xml:space="preserve">Co-location Services Agreement (not a lease of land)</w:t>
      </w:r>
    </w:p>
    <w:p>
      <w:pPr>
        <w:spacing w:after="80"/>
      </w:pPr>
      <w:r>
        <w:rPr>
          <w:b/>
          <w:bCs/>
          <w:sz w:val="22"/>
          <w:szCs w:val="22"/>
        </w:rPr>
        <w:t xml:space="preserve">Space: </w:t>
      </w:r>
      <w:r>
        <w:rPr>
          <w:sz w:val="22"/>
          <w:szCs w:val="22"/>
        </w:rPr>
        <w:t xml:space="preserve">2 full racks — 42U each</w:t>
      </w:r>
    </w:p>
    <w:p>
      <w:pPr>
        <w:spacing w:after="80"/>
      </w:pPr>
      <w:r>
        <w:rPr>
          <w:b/>
          <w:bCs/>
          <w:sz w:val="22"/>
          <w:szCs w:val="22"/>
        </w:rPr>
        <w:t xml:space="preserve">Power Allocation: </w:t>
      </w:r>
      <w:r>
        <w:rPr>
          <w:sz w:val="22"/>
          <w:szCs w:val="22"/>
        </w:rPr>
        <w:t xml:space="preserve">8 kVA per rack</w:t>
      </w:r>
    </w:p>
    <w:p>
      <w:pPr>
        <w:spacing w:after="80"/>
      </w:pPr>
      <w:r>
        <w:rPr>
          <w:b/>
          <w:bCs/>
          <w:sz w:val="22"/>
          <w:szCs w:val="22"/>
        </w:rPr>
        <w:t xml:space="preserve">Commencement: </w:t>
      </w:r>
      <w:r>
        <w:rPr>
          <w:sz w:val="22"/>
          <w:szCs w:val="22"/>
        </w:rPr>
        <w:t xml:space="preserve">1 October 2020</w:t>
      </w:r>
    </w:p>
    <w:p>
      <w:pPr>
        <w:spacing w:after="80"/>
      </w:pPr>
      <w:r>
        <w:rPr>
          <w:b/>
          <w:bCs/>
          <w:sz w:val="22"/>
          <w:szCs w:val="22"/>
        </w:rPr>
        <w:t xml:space="preserve">Current Term: </w:t>
      </w:r>
      <w:r>
        <w:rPr>
          <w:sz w:val="22"/>
          <w:szCs w:val="22"/>
        </w:rPr>
        <w:t xml:space="preserve">Annual renewable — renewed April 2024</w:t>
      </w:r>
    </w:p>
    <w:p>
      <w:pPr>
        <w:spacing w:after="80"/>
      </w:pPr>
      <w:r>
        <w:rPr>
          <w:b/>
          <w:bCs/>
          <w:sz w:val="22"/>
          <w:szCs w:val="22"/>
        </w:rPr>
        <w:t xml:space="preserve">Monthly Cost: </w:t>
      </w:r>
      <w:r>
        <w:rPr>
          <w:sz w:val="22"/>
          <w:szCs w:val="22"/>
        </w:rPr>
        <w:t xml:space="preserve">₹1,84,000 (power + space + cross-connect)</w:t>
      </w:r>
    </w:p>
    <w:p>
      <w:pPr>
        <w:spacing w:after="80"/>
      </w:pPr>
      <w:r>
        <w:rPr>
          <w:b/>
          <w:bCs/>
          <w:sz w:val="22"/>
          <w:szCs w:val="22"/>
        </w:rPr>
        <w:t xml:space="preserve">SLA: </w:t>
      </w:r>
      <w:r>
        <w:rPr>
          <w:sz w:val="22"/>
          <w:szCs w:val="22"/>
        </w:rPr>
        <w:t xml:space="preserve">99.999% uptime — Tier III facility</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6. Property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600"/>
            <w:shd w:fill="7C2D12" w:val="clear"/>
            <w:vAlign w:val="center"/>
          </w:tcPr>
          <w:p>
            <w:pPr>
              <w:spacing w:after="0"/>
            </w:pPr>
            <w:r>
              <w:rPr>
                <w:b/>
                <w:bCs/>
                <w:color w:val="FFFFFF"/>
                <w:sz w:val="20"/>
                <w:szCs w:val="20"/>
              </w:rPr>
              <w:t xml:space="preserve">Property</w:t>
            </w:r>
          </w:p>
        </w:tc>
        <w:tc>
          <w:tcPr>
            <w:tcW w:type="dxa" w:w="1800"/>
            <w:shd w:fill="7C2D12" w:val="clear"/>
            <w:vAlign w:val="center"/>
          </w:tcPr>
          <w:p>
            <w:pPr>
              <w:spacing w:after="0"/>
            </w:pPr>
            <w:r>
              <w:rPr>
                <w:b/>
                <w:bCs/>
                <w:color w:val="FFFFFF"/>
                <w:sz w:val="20"/>
                <w:szCs w:val="20"/>
              </w:rPr>
              <w:t xml:space="preserve">Type</w:t>
            </w:r>
          </w:p>
        </w:tc>
        <w:tc>
          <w:tcPr>
            <w:tcW w:type="dxa" w:w="1800"/>
            <w:shd w:fill="7C2D12" w:val="clear"/>
            <w:vAlign w:val="center"/>
          </w:tcPr>
          <w:p>
            <w:pPr>
              <w:spacing w:after="0"/>
            </w:pPr>
            <w:r>
              <w:rPr>
                <w:b/>
                <w:bCs/>
                <w:color w:val="FFFFFF"/>
                <w:sz w:val="20"/>
                <w:szCs w:val="20"/>
              </w:rPr>
              <w:t xml:space="preserve">Area</w:t>
            </w:r>
          </w:p>
        </w:tc>
        <w:tc>
          <w:tcPr>
            <w:tcW w:type="dxa" w:w="2000"/>
            <w:shd w:fill="7C2D12" w:val="clear"/>
            <w:vAlign w:val="center"/>
          </w:tcPr>
          <w:p>
            <w:pPr>
              <w:spacing w:after="0"/>
            </w:pPr>
            <w:r>
              <w:rPr>
                <w:b/>
                <w:bCs/>
                <w:color w:val="FFFFFF"/>
                <w:sz w:val="20"/>
                <w:szCs w:val="20"/>
              </w:rPr>
              <w:t xml:space="preserve">Monthly Cost (₹)</w:t>
            </w:r>
          </w:p>
        </w:tc>
        <w:tc>
          <w:tcPr>
            <w:tcW w:type="dxa" w:w="1400"/>
            <w:shd w:fill="7C2D12" w:val="clear"/>
            <w:vAlign w:val="center"/>
          </w:tcPr>
          <w:p>
            <w:pPr>
              <w:spacing w:after="0"/>
            </w:pPr>
            <w:r>
              <w:rPr>
                <w:b/>
                <w:bCs/>
                <w:color w:val="FFFFFF"/>
                <w:sz w:val="20"/>
                <w:szCs w:val="20"/>
              </w:rPr>
              <w:t xml:space="preserve">Expiry</w:t>
            </w:r>
          </w:p>
        </w:tc>
        <w:tc>
          <w:tcPr>
            <w:tcW w:type="dxa" w:w="1800"/>
            <w:shd w:fill="7C2D12" w:val="clear"/>
            <w:vAlign w:val="center"/>
          </w:tcPr>
          <w:p>
            <w:pPr>
              <w:spacing w:after="0"/>
            </w:pPr>
            <w:r>
              <w:rPr>
                <w:b/>
                <w:bCs/>
                <w:color w:val="FFFFFF"/>
                <w:sz w:val="20"/>
                <w:szCs w:val="20"/>
              </w:rPr>
              <w:t xml:space="preserve">Status</w:t>
            </w:r>
          </w:p>
        </w:tc>
      </w:tr>
      <w:tr>
        <w:trPr>
          <w:tblHeader w:val="false"/>
        </w:trPr>
        <w:tc>
          <w:tcPr>
            <w:tcW w:type="dxa" w:w="2600"/>
            <w:vAlign w:val="center"/>
          </w:tcPr>
          <w:p>
            <w:pPr>
              <w:spacing w:after="0"/>
            </w:pPr>
            <w:r>
              <w:rPr>
                <w:b w:val="false"/>
                <w:bCs w:val="false"/>
                <w:color w:val="1E293B"/>
                <w:sz w:val="20"/>
                <w:szCs w:val="20"/>
              </w:rPr>
              <w:t xml:space="preserve">Prestige Tech Park, BLR</w:t>
            </w:r>
          </w:p>
        </w:tc>
        <w:tc>
          <w:tcPr>
            <w:tcW w:type="dxa" w:w="1800"/>
            <w:vAlign w:val="center"/>
          </w:tcPr>
          <w:p>
            <w:pPr>
              <w:spacing w:after="0"/>
            </w:pPr>
            <w:r>
              <w:rPr>
                <w:b w:val="false"/>
                <w:bCs w:val="false"/>
                <w:color w:val="1E293B"/>
                <w:sz w:val="20"/>
                <w:szCs w:val="20"/>
              </w:rPr>
              <w:t xml:space="preserve">Office Lease</w:t>
            </w:r>
          </w:p>
        </w:tc>
        <w:tc>
          <w:tcPr>
            <w:tcW w:type="dxa" w:w="1800"/>
            <w:vAlign w:val="center"/>
          </w:tcPr>
          <w:p>
            <w:pPr>
              <w:spacing w:after="0"/>
            </w:pPr>
            <w:r>
              <w:rPr>
                <w:b w:val="false"/>
                <w:bCs w:val="false"/>
                <w:color w:val="1E293B"/>
                <w:sz w:val="20"/>
                <w:szCs w:val="20"/>
              </w:rPr>
              <w:t xml:space="preserve">12,200 sq.ft.</w:t>
            </w:r>
          </w:p>
        </w:tc>
        <w:tc>
          <w:tcPr>
            <w:tcW w:type="dxa" w:w="2000"/>
            <w:vAlign w:val="center"/>
          </w:tcPr>
          <w:p>
            <w:pPr>
              <w:spacing w:after="0"/>
            </w:pPr>
            <w:r>
              <w:rPr>
                <w:b w:val="false"/>
                <w:bCs w:val="false"/>
                <w:color w:val="1E293B"/>
                <w:sz w:val="20"/>
                <w:szCs w:val="20"/>
              </w:rPr>
              <w:t xml:space="preserve">18,30,000</w:t>
            </w:r>
          </w:p>
        </w:tc>
        <w:tc>
          <w:tcPr>
            <w:tcW w:type="dxa" w:w="1400"/>
            <w:vAlign w:val="center"/>
          </w:tcPr>
          <w:p>
            <w:pPr>
              <w:spacing w:after="0"/>
            </w:pPr>
            <w:r>
              <w:rPr>
                <w:b w:val="false"/>
                <w:bCs w:val="false"/>
                <w:color w:val="1E293B"/>
                <w:sz w:val="20"/>
                <w:szCs w:val="20"/>
              </w:rPr>
              <w:t xml:space="preserve">Mar 2027</w:t>
            </w:r>
          </w:p>
        </w:tc>
        <w:tc>
          <w:tcPr>
            <w:tcW w:type="dxa" w:w="1800"/>
            <w:vAlign w:val="center"/>
          </w:tcPr>
          <w:p>
            <w:pPr>
              <w:spacing w:after="0"/>
            </w:pPr>
            <w:r>
              <w:rPr>
                <w:b w:val="false"/>
                <w:bCs w:val="false"/>
                <w:color w:val="1E293B"/>
                <w:sz w:val="20"/>
                <w:szCs w:val="20"/>
              </w:rPr>
              <w:t xml:space="preserve">Active</w:t>
            </w:r>
          </w:p>
        </w:tc>
      </w:tr>
      <w:tr>
        <w:trPr>
          <w:tblHeader w:val="false"/>
        </w:trPr>
        <w:tc>
          <w:tcPr>
            <w:tcW w:type="dxa" w:w="2600"/>
            <w:vAlign w:val="center"/>
          </w:tcPr>
          <w:p>
            <w:pPr>
              <w:spacing w:after="0"/>
            </w:pPr>
            <w:r>
              <w:rPr>
                <w:b w:val="false"/>
                <w:bCs w:val="false"/>
                <w:color w:val="1E293B"/>
                <w:sz w:val="20"/>
                <w:szCs w:val="20"/>
              </w:rPr>
              <w:t xml:space="preserve">WeWork Galaxy, BLR</w:t>
            </w:r>
          </w:p>
        </w:tc>
        <w:tc>
          <w:tcPr>
            <w:tcW w:type="dxa" w:w="1800"/>
            <w:vAlign w:val="center"/>
          </w:tcPr>
          <w:p>
            <w:pPr>
              <w:spacing w:after="0"/>
            </w:pPr>
            <w:r>
              <w:rPr>
                <w:b w:val="false"/>
                <w:bCs w:val="false"/>
                <w:color w:val="1E293B"/>
                <w:sz w:val="20"/>
                <w:szCs w:val="20"/>
              </w:rPr>
              <w:t xml:space="preserve">Managed Office</w:t>
            </w:r>
          </w:p>
        </w:tc>
        <w:tc>
          <w:tcPr>
            <w:tcW w:type="dxa" w:w="1800"/>
            <w:vAlign w:val="center"/>
          </w:tcPr>
          <w:p>
            <w:pPr>
              <w:spacing w:after="0"/>
            </w:pPr>
            <w:r>
              <w:rPr>
                <w:b w:val="false"/>
                <w:bCs w:val="false"/>
                <w:color w:val="1E293B"/>
                <w:sz w:val="20"/>
                <w:szCs w:val="20"/>
              </w:rPr>
              <w:t xml:space="preserve">3,600 sq.ft.</w:t>
            </w:r>
          </w:p>
        </w:tc>
        <w:tc>
          <w:tcPr>
            <w:tcW w:type="dxa" w:w="2000"/>
            <w:vAlign w:val="center"/>
          </w:tcPr>
          <w:p>
            <w:pPr>
              <w:spacing w:after="0"/>
            </w:pPr>
            <w:r>
              <w:rPr>
                <w:b w:val="false"/>
                <w:bCs w:val="false"/>
                <w:color w:val="1E293B"/>
                <w:sz w:val="20"/>
                <w:szCs w:val="20"/>
              </w:rPr>
              <w:t xml:space="preserve">4,68,000</w:t>
            </w:r>
          </w:p>
        </w:tc>
        <w:tc>
          <w:tcPr>
            <w:tcW w:type="dxa" w:w="1400"/>
            <w:vAlign w:val="center"/>
          </w:tcPr>
          <w:p>
            <w:pPr>
              <w:spacing w:after="0"/>
            </w:pPr>
            <w:r>
              <w:rPr>
                <w:b w:val="false"/>
                <w:bCs w:val="false"/>
                <w:color w:val="1E293B"/>
                <w:sz w:val="20"/>
                <w:szCs w:val="20"/>
              </w:rPr>
              <w:t xml:space="preserve">Dec 2025</w:t>
            </w:r>
          </w:p>
        </w:tc>
        <w:tc>
          <w:tcPr>
            <w:tcW w:type="dxa" w:w="1800"/>
            <w:vAlign w:val="center"/>
          </w:tcPr>
          <w:p>
            <w:pPr>
              <w:spacing w:after="0"/>
            </w:pPr>
            <w:r>
              <w:rPr>
                <w:b w:val="false"/>
                <w:bCs w:val="false"/>
                <w:color w:val="1E293B"/>
                <w:sz w:val="20"/>
                <w:szCs w:val="20"/>
              </w:rPr>
              <w:t xml:space="preserve">Active</w:t>
            </w:r>
          </w:p>
        </w:tc>
      </w:tr>
      <w:tr>
        <w:trPr>
          <w:tblHeader w:val="false"/>
        </w:trPr>
        <w:tc>
          <w:tcPr>
            <w:tcW w:type="dxa" w:w="2600"/>
            <w:vAlign w:val="center"/>
          </w:tcPr>
          <w:p>
            <w:pPr>
              <w:spacing w:after="0"/>
            </w:pPr>
            <w:r>
              <w:rPr>
                <w:b w:val="false"/>
                <w:bCs w:val="false"/>
                <w:color w:val="1E293B"/>
                <w:sz w:val="20"/>
                <w:szCs w:val="20"/>
              </w:rPr>
              <w:t xml:space="preserve">Godrej BKC, Mumbai</w:t>
            </w:r>
          </w:p>
        </w:tc>
        <w:tc>
          <w:tcPr>
            <w:tcW w:type="dxa" w:w="1800"/>
            <w:vAlign w:val="center"/>
          </w:tcPr>
          <w:p>
            <w:pPr>
              <w:spacing w:after="0"/>
            </w:pPr>
            <w:r>
              <w:rPr>
                <w:b w:val="false"/>
                <w:bCs w:val="false"/>
                <w:color w:val="1E293B"/>
                <w:sz w:val="20"/>
                <w:szCs w:val="20"/>
              </w:rPr>
              <w:t xml:space="preserve">Office Lease</w:t>
            </w:r>
          </w:p>
        </w:tc>
        <w:tc>
          <w:tcPr>
            <w:tcW w:type="dxa" w:w="1800"/>
            <w:vAlign w:val="center"/>
          </w:tcPr>
          <w:p>
            <w:pPr>
              <w:spacing w:after="0"/>
            </w:pPr>
            <w:r>
              <w:rPr>
                <w:b w:val="false"/>
                <w:bCs w:val="false"/>
                <w:color w:val="1E293B"/>
                <w:sz w:val="20"/>
                <w:szCs w:val="20"/>
              </w:rPr>
              <w:t xml:space="preserve">2,600 sq.ft.</w:t>
            </w:r>
          </w:p>
        </w:tc>
        <w:tc>
          <w:tcPr>
            <w:tcW w:type="dxa" w:w="2000"/>
            <w:vAlign w:val="center"/>
          </w:tcPr>
          <w:p>
            <w:pPr>
              <w:spacing w:after="0"/>
            </w:pPr>
            <w:r>
              <w:rPr>
                <w:b w:val="false"/>
                <w:bCs w:val="false"/>
                <w:color w:val="1E293B"/>
                <w:sz w:val="20"/>
                <w:szCs w:val="20"/>
              </w:rPr>
              <w:t xml:space="preserve">3,64,000</w:t>
            </w:r>
          </w:p>
        </w:tc>
        <w:tc>
          <w:tcPr>
            <w:tcW w:type="dxa" w:w="1400"/>
            <w:vAlign w:val="center"/>
          </w:tcPr>
          <w:p>
            <w:pPr>
              <w:spacing w:after="0"/>
            </w:pPr>
            <w:r>
              <w:rPr>
                <w:b w:val="false"/>
                <w:bCs w:val="false"/>
                <w:color w:val="1E293B"/>
                <w:sz w:val="20"/>
                <w:szCs w:val="20"/>
              </w:rPr>
              <w:t xml:space="preserve">Jun 2025</w:t>
            </w:r>
          </w:p>
        </w:tc>
        <w:tc>
          <w:tcPr>
            <w:tcW w:type="dxa" w:w="1800"/>
            <w:vAlign w:val="center"/>
          </w:tcPr>
          <w:p>
            <w:pPr>
              <w:spacing w:after="0"/>
            </w:pPr>
            <w:r>
              <w:rPr>
                <w:b w:val="false"/>
                <w:bCs w:val="false"/>
                <w:color w:val="1E293B"/>
                <w:sz w:val="20"/>
                <w:szCs w:val="20"/>
              </w:rPr>
              <w:t xml:space="preserve">Renewal pending</w:t>
            </w:r>
          </w:p>
        </w:tc>
      </w:tr>
      <w:tr>
        <w:trPr>
          <w:tblHeader w:val="false"/>
        </w:trPr>
        <w:tc>
          <w:tcPr>
            <w:tcW w:type="dxa" w:w="2600"/>
            <w:vAlign w:val="center"/>
          </w:tcPr>
          <w:p>
            <w:pPr>
              <w:spacing w:after="0"/>
            </w:pPr>
            <w:r>
              <w:rPr>
                <w:b w:val="false"/>
                <w:bCs w:val="false"/>
                <w:color w:val="1E293B"/>
                <w:sz w:val="20"/>
                <w:szCs w:val="20"/>
              </w:rPr>
              <w:t xml:space="preserve">STT GDC, BLR (Co-lo)</w:t>
            </w:r>
          </w:p>
        </w:tc>
        <w:tc>
          <w:tcPr>
            <w:tcW w:type="dxa" w:w="1800"/>
            <w:vAlign w:val="center"/>
          </w:tcPr>
          <w:p>
            <w:pPr>
              <w:spacing w:after="0"/>
            </w:pPr>
            <w:r>
              <w:rPr>
                <w:b w:val="false"/>
                <w:bCs w:val="false"/>
                <w:color w:val="1E293B"/>
                <w:sz w:val="20"/>
                <w:szCs w:val="20"/>
              </w:rPr>
              <w:t xml:space="preserve">Rack Lease</w:t>
            </w:r>
          </w:p>
        </w:tc>
        <w:tc>
          <w:tcPr>
            <w:tcW w:type="dxa" w:w="1800"/>
            <w:vAlign w:val="center"/>
          </w:tcPr>
          <w:p>
            <w:pPr>
              <w:spacing w:after="0"/>
            </w:pPr>
            <w:r>
              <w:rPr>
                <w:b w:val="false"/>
                <w:bCs w:val="false"/>
                <w:color w:val="1E293B"/>
                <w:sz w:val="20"/>
                <w:szCs w:val="20"/>
              </w:rPr>
              <w:t xml:space="preserve">2 racks</w:t>
            </w:r>
          </w:p>
        </w:tc>
        <w:tc>
          <w:tcPr>
            <w:tcW w:type="dxa" w:w="2000"/>
            <w:vAlign w:val="center"/>
          </w:tcPr>
          <w:p>
            <w:pPr>
              <w:spacing w:after="0"/>
            </w:pPr>
            <w:r>
              <w:rPr>
                <w:b w:val="false"/>
                <w:bCs w:val="false"/>
                <w:color w:val="1E293B"/>
                <w:sz w:val="20"/>
                <w:szCs w:val="20"/>
              </w:rPr>
              <w:t xml:space="preserve">1,84,000</w:t>
            </w:r>
          </w:p>
        </w:tc>
        <w:tc>
          <w:tcPr>
            <w:tcW w:type="dxa" w:w="1400"/>
            <w:vAlign w:val="center"/>
          </w:tcPr>
          <w:p>
            <w:pPr>
              <w:spacing w:after="0"/>
            </w:pPr>
            <w:r>
              <w:rPr>
                <w:b w:val="false"/>
                <w:bCs w:val="false"/>
                <w:color w:val="1E293B"/>
                <w:sz w:val="20"/>
                <w:szCs w:val="20"/>
              </w:rPr>
              <w:t xml:space="preserve">Apr 2025</w:t>
            </w:r>
          </w:p>
        </w:tc>
        <w:tc>
          <w:tcPr>
            <w:tcW w:type="dxa" w:w="1800"/>
            <w:vAlign w:val="center"/>
          </w:tcPr>
          <w:p>
            <w:pPr>
              <w:spacing w:after="0"/>
            </w:pPr>
            <w:r>
              <w:rPr>
                <w:b w:val="false"/>
                <w:bCs w:val="false"/>
                <w:color w:val="1E293B"/>
                <w:sz w:val="20"/>
                <w:szCs w:val="20"/>
              </w:rPr>
              <w:t xml:space="preserve">Renewed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2026-03-07T06:45:06.798Z</dcterms:created>
  <dcterms:modified xsi:type="dcterms:W3CDTF">2026-03-07T06:45:06.817Z</dcterms:modified>
</cp:coreProperties>
</file>

<file path=docProps/custom.xml><?xml version="1.0" encoding="utf-8"?>
<Properties xmlns="http://schemas.openxmlformats.org/officeDocument/2006/custom-properties" xmlns:vt="http://schemas.openxmlformats.org/officeDocument/2006/docPropsVTypes"/>
</file>