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80" w:after="120"/>
      </w:pPr>
      <w:r>
        <w:rPr>
          <w:b/>
          <w:bCs/>
          <w:color w:val="1A2755"/>
          <w:sz w:val="32"/>
          <w:szCs w:val="32"/>
        </w:rPr>
        <w:t xml:space="preserve">TechNova Solutions Pvt. Ltd. — Loan Portfolio Overview</w:t>
      </w:r>
    </w:p>
    <w:p>
      <w:pPr>
        <w:spacing w:after="100"/>
      </w:pPr>
      <w:r>
        <w:rPr>
          <w:sz w:val="22"/>
          <w:szCs w:val="22"/>
        </w:rPr>
        <w:t xml:space="preserve">Module: Loans | Slot: Overview | As at 31 March 2025 | Prepared by: CFO Office</w:t>
      </w:r>
    </w:p>
    <w:p>
      <w:pPr>
        <w:spacing w:before="120" w:after="120"/>
      </w:pPr>
      <w:r>
        <w:rPr>
          <w:color w:val="CBD5E1"/>
          <w:sz w:val="18"/>
          <w:szCs w:val="18"/>
        </w:rPr>
        <w:t xml:space="preserve">────────────────────────────────────────────────────────────────────────</w:t>
      </w:r>
    </w:p>
    <w:p>
      <w:pPr>
        <w:pStyle w:val="Heading2"/>
        <w:spacing w:before="200" w:after="100"/>
      </w:pPr>
      <w:r>
        <w:rPr>
          <w:b/>
          <w:bCs/>
          <w:color w:val="B45309"/>
          <w:sz w:val="26"/>
          <w:szCs w:val="26"/>
        </w:rPr>
        <w:t xml:space="preserve">1. Executive Summary</w:t>
      </w:r>
    </w:p>
    <w:p>
      <w:pPr>
        <w:spacing w:after="100"/>
      </w:pPr>
      <w:r>
        <w:rPr>
          <w:sz w:val="22"/>
          <w:szCs w:val="22"/>
        </w:rPr>
        <w:t xml:space="preserve">TechNova Solutions maintains a conservative debt posture, consistent with its SaaS business model which is largely funded through equity and recurring revenue. The company has one active term loan drawn for infrastructure expansion, an unutilised working capital overdraft facility, and a bank guarantee facility for vendor contracts. Total outstanding debt as at 31 March 2025 is ₹3,84,00,000 — representing a Debt-to-Equity ratio of 0.11x, well within investor covenants.</w:t>
      </w:r>
    </w:p>
    <w:p>
      <w:pPr>
        <w:spacing w:before="120" w:after="120"/>
      </w:pPr>
      <w:r>
        <w:rPr>
          <w:color w:val="CBD5E1"/>
          <w:sz w:val="18"/>
          <w:szCs w:val="18"/>
        </w:rPr>
        <w:t xml:space="preserve">────────────────────────────────────────────────────────────────────────</w:t>
      </w:r>
    </w:p>
    <w:p>
      <w:pPr>
        <w:pStyle w:val="Heading2"/>
        <w:spacing w:before="200" w:after="100"/>
      </w:pPr>
      <w:r>
        <w:rPr>
          <w:b/>
          <w:bCs/>
          <w:color w:val="B45309"/>
          <w:sz w:val="26"/>
          <w:szCs w:val="26"/>
        </w:rPr>
        <w:t xml:space="preserve">2. Loan Portfolio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2200"/>
            <w:shd w:fill="B45309" w:val="clear"/>
            <w:vAlign w:val="center"/>
          </w:tcPr>
          <w:p>
            <w:pPr>
              <w:spacing w:after="0"/>
            </w:pPr>
            <w:r>
              <w:rPr>
                <w:b/>
                <w:bCs/>
                <w:color w:val="FFFFFF"/>
                <w:sz w:val="20"/>
                <w:szCs w:val="20"/>
              </w:rPr>
              <w:t xml:space="preserve">Facility</w:t>
            </w:r>
          </w:p>
        </w:tc>
        <w:tc>
          <w:tcPr>
            <w:tcW w:type="dxa" w:w="1600"/>
            <w:shd w:fill="B45309" w:val="clear"/>
            <w:vAlign w:val="center"/>
          </w:tcPr>
          <w:p>
            <w:pPr>
              <w:spacing w:after="0"/>
            </w:pPr>
            <w:r>
              <w:rPr>
                <w:b/>
                <w:bCs/>
                <w:color w:val="FFFFFF"/>
                <w:sz w:val="20"/>
                <w:szCs w:val="20"/>
              </w:rPr>
              <w:t xml:space="preserve">Lender</w:t>
            </w:r>
          </w:p>
        </w:tc>
        <w:tc>
          <w:tcPr>
            <w:tcW w:type="dxa" w:w="1800"/>
            <w:shd w:fill="B45309" w:val="clear"/>
            <w:vAlign w:val="center"/>
          </w:tcPr>
          <w:p>
            <w:pPr>
              <w:spacing w:after="0"/>
            </w:pPr>
            <w:r>
              <w:rPr>
                <w:b/>
                <w:bCs/>
                <w:color w:val="FFFFFF"/>
                <w:sz w:val="20"/>
                <w:szCs w:val="20"/>
              </w:rPr>
              <w:t xml:space="preserve">Sanctioned (₹)</w:t>
            </w:r>
          </w:p>
        </w:tc>
        <w:tc>
          <w:tcPr>
            <w:tcW w:type="dxa" w:w="1800"/>
            <w:shd w:fill="B45309" w:val="clear"/>
            <w:vAlign w:val="center"/>
          </w:tcPr>
          <w:p>
            <w:pPr>
              <w:spacing w:after="0"/>
            </w:pPr>
            <w:r>
              <w:rPr>
                <w:b/>
                <w:bCs/>
                <w:color w:val="FFFFFF"/>
                <w:sz w:val="20"/>
                <w:szCs w:val="20"/>
              </w:rPr>
              <w:t xml:space="preserve">Outstanding (₹)</w:t>
            </w:r>
          </w:p>
        </w:tc>
        <w:tc>
          <w:tcPr>
            <w:tcW w:type="dxa" w:w="1400"/>
            <w:shd w:fill="B45309" w:val="clear"/>
            <w:vAlign w:val="center"/>
          </w:tcPr>
          <w:p>
            <w:pPr>
              <w:spacing w:after="0"/>
            </w:pPr>
            <w:r>
              <w:rPr>
                <w:b/>
                <w:bCs/>
                <w:color w:val="FFFFFF"/>
                <w:sz w:val="20"/>
                <w:szCs w:val="20"/>
              </w:rPr>
              <w:t xml:space="preserve">Rate</w:t>
            </w:r>
          </w:p>
        </w:tc>
        <w:tc>
          <w:tcPr>
            <w:tcW w:type="dxa" w:w="2000"/>
            <w:shd w:fill="B45309" w:val="clear"/>
            <w:vAlign w:val="center"/>
          </w:tcPr>
          <w:p>
            <w:pPr>
              <w:spacing w:after="0"/>
            </w:pPr>
            <w:r>
              <w:rPr>
                <w:b/>
                <w:bCs/>
                <w:color w:val="FFFFFF"/>
                <w:sz w:val="20"/>
                <w:szCs w:val="20"/>
              </w:rPr>
              <w:t xml:space="preserve">Tenure</w:t>
            </w:r>
          </w:p>
        </w:tc>
        <w:tc>
          <w:tcPr>
            <w:tcW w:type="dxa" w:w="2200"/>
            <w:shd w:fill="B45309" w:val="clear"/>
            <w:vAlign w:val="center"/>
          </w:tcPr>
          <w:p>
            <w:pPr>
              <w:spacing w:after="0"/>
            </w:pPr>
            <w:r>
              <w:rPr>
                <w:b/>
                <w:bCs/>
                <w:color w:val="FFFFFF"/>
                <w:sz w:val="20"/>
                <w:szCs w:val="20"/>
              </w:rPr>
              <w:t xml:space="preserve">Security</w:t>
            </w:r>
          </w:p>
        </w:tc>
        <w:tc>
          <w:tcPr>
            <w:tcW w:type="dxa" w:w="1200"/>
            <w:shd w:fill="B45309" w:val="clear"/>
            <w:vAlign w:val="center"/>
          </w:tcPr>
          <w:p>
            <w:pPr>
              <w:spacing w:after="0"/>
            </w:pPr>
            <w:r>
              <w:rPr>
                <w:b/>
                <w:bCs/>
                <w:color w:val="FFFFFF"/>
                <w:sz w:val="20"/>
                <w:szCs w:val="20"/>
              </w:rPr>
              <w:t xml:space="preserve">Status</w:t>
            </w:r>
          </w:p>
        </w:tc>
      </w:tr>
      <w:tr>
        <w:trPr>
          <w:tblHeader w:val="false"/>
        </w:trPr>
        <w:tc>
          <w:tcPr>
            <w:tcW w:type="dxa" w:w="2200"/>
            <w:vAlign w:val="center"/>
          </w:tcPr>
          <w:p>
            <w:pPr>
              <w:spacing w:after="0"/>
            </w:pPr>
            <w:r>
              <w:rPr>
                <w:b w:val="false"/>
                <w:bCs w:val="false"/>
                <w:color w:val="1E293B"/>
                <w:sz w:val="20"/>
                <w:szCs w:val="20"/>
              </w:rPr>
              <w:t xml:space="preserve">Term Loan — IT Infrastructure</w:t>
            </w:r>
          </w:p>
        </w:tc>
        <w:tc>
          <w:tcPr>
            <w:tcW w:type="dxa" w:w="1600"/>
            <w:vAlign w:val="center"/>
          </w:tcPr>
          <w:p>
            <w:pPr>
              <w:spacing w:after="0"/>
            </w:pPr>
            <w:r>
              <w:rPr>
                <w:b w:val="false"/>
                <w:bCs w:val="false"/>
                <w:color w:val="1E293B"/>
                <w:sz w:val="20"/>
                <w:szCs w:val="20"/>
              </w:rPr>
              <w:t xml:space="preserve">HDFC Bank Ltd.</w:t>
            </w:r>
          </w:p>
        </w:tc>
        <w:tc>
          <w:tcPr>
            <w:tcW w:type="dxa" w:w="1800"/>
            <w:vAlign w:val="center"/>
          </w:tcPr>
          <w:p>
            <w:pPr>
              <w:spacing w:after="0"/>
            </w:pPr>
            <w:r>
              <w:rPr>
                <w:b w:val="false"/>
                <w:bCs w:val="false"/>
                <w:color w:val="1E293B"/>
                <w:sz w:val="20"/>
                <w:szCs w:val="20"/>
              </w:rPr>
              <w:t xml:space="preserve">5,00,00,000</w:t>
            </w:r>
          </w:p>
        </w:tc>
        <w:tc>
          <w:tcPr>
            <w:tcW w:type="dxa" w:w="1800"/>
            <w:vAlign w:val="center"/>
          </w:tcPr>
          <w:p>
            <w:pPr>
              <w:spacing w:after="0"/>
            </w:pPr>
            <w:r>
              <w:rPr>
                <w:b w:val="false"/>
                <w:bCs w:val="false"/>
                <w:color w:val="1E293B"/>
                <w:sz w:val="20"/>
                <w:szCs w:val="20"/>
              </w:rPr>
              <w:t xml:space="preserve">3,84,00,000</w:t>
            </w:r>
          </w:p>
        </w:tc>
        <w:tc>
          <w:tcPr>
            <w:tcW w:type="dxa" w:w="1400"/>
            <w:vAlign w:val="center"/>
          </w:tcPr>
          <w:p>
            <w:pPr>
              <w:spacing w:after="0"/>
            </w:pPr>
            <w:r>
              <w:rPr>
                <w:b w:val="false"/>
                <w:bCs w:val="false"/>
                <w:color w:val="1E293B"/>
                <w:sz w:val="20"/>
                <w:szCs w:val="20"/>
              </w:rPr>
              <w:t xml:space="preserve">10.50% p.a.</w:t>
            </w:r>
          </w:p>
        </w:tc>
        <w:tc>
          <w:tcPr>
            <w:tcW w:type="dxa" w:w="2000"/>
            <w:vAlign w:val="center"/>
          </w:tcPr>
          <w:p>
            <w:pPr>
              <w:spacing w:after="0"/>
            </w:pPr>
            <w:r>
              <w:rPr>
                <w:b w:val="false"/>
                <w:bCs w:val="false"/>
                <w:color w:val="1E293B"/>
                <w:sz w:val="20"/>
                <w:szCs w:val="20"/>
              </w:rPr>
              <w:t xml:space="preserve">5 years (Apr 2022–Mar 2027)</w:t>
            </w:r>
          </w:p>
        </w:tc>
        <w:tc>
          <w:tcPr>
            <w:tcW w:type="dxa" w:w="2200"/>
            <w:vAlign w:val="center"/>
          </w:tcPr>
          <w:p>
            <w:pPr>
              <w:spacing w:after="0"/>
            </w:pPr>
            <w:r>
              <w:rPr>
                <w:b w:val="false"/>
                <w:bCs w:val="false"/>
                <w:color w:val="1E293B"/>
                <w:sz w:val="20"/>
                <w:szCs w:val="20"/>
              </w:rPr>
              <w:t xml:space="preserve">Hypothecation of assets funded</w:t>
            </w:r>
          </w:p>
        </w:tc>
        <w:tc>
          <w:tcPr>
            <w:tcW w:type="dxa" w:w="1200"/>
            <w:vAlign w:val="center"/>
          </w:tcPr>
          <w:p>
            <w:pPr>
              <w:spacing w:after="0"/>
            </w:pPr>
            <w:r>
              <w:rPr>
                <w:b w:val="false"/>
                <w:bCs w:val="false"/>
                <w:color w:val="1E293B"/>
                <w:sz w:val="20"/>
                <w:szCs w:val="20"/>
              </w:rPr>
              <w:t xml:space="preserve">Active</w:t>
            </w:r>
          </w:p>
        </w:tc>
      </w:tr>
      <w:tr>
        <w:trPr>
          <w:tblHeader w:val="false"/>
        </w:trPr>
        <w:tc>
          <w:tcPr>
            <w:tcW w:type="dxa" w:w="2200"/>
            <w:vAlign w:val="center"/>
          </w:tcPr>
          <w:p>
            <w:pPr>
              <w:spacing w:after="0"/>
            </w:pPr>
            <w:r>
              <w:rPr>
                <w:b w:val="false"/>
                <w:bCs w:val="false"/>
                <w:color w:val="1E293B"/>
                <w:sz w:val="20"/>
                <w:szCs w:val="20"/>
              </w:rPr>
              <w:t xml:space="preserve">Working Capital OD</w:t>
            </w:r>
          </w:p>
        </w:tc>
        <w:tc>
          <w:tcPr>
            <w:tcW w:type="dxa" w:w="1600"/>
            <w:vAlign w:val="center"/>
          </w:tcPr>
          <w:p>
            <w:pPr>
              <w:spacing w:after="0"/>
            </w:pPr>
            <w:r>
              <w:rPr>
                <w:b w:val="false"/>
                <w:bCs w:val="false"/>
                <w:color w:val="1E293B"/>
                <w:sz w:val="20"/>
                <w:szCs w:val="20"/>
              </w:rPr>
              <w:t xml:space="preserve">HDFC Bank Ltd.</w:t>
            </w:r>
          </w:p>
        </w:tc>
        <w:tc>
          <w:tcPr>
            <w:tcW w:type="dxa" w:w="1800"/>
            <w:vAlign w:val="center"/>
          </w:tcPr>
          <w:p>
            <w:pPr>
              <w:spacing w:after="0"/>
            </w:pPr>
            <w:r>
              <w:rPr>
                <w:b w:val="false"/>
                <w:bCs w:val="false"/>
                <w:color w:val="1E293B"/>
                <w:sz w:val="20"/>
                <w:szCs w:val="20"/>
              </w:rPr>
              <w:t xml:space="preserve">2,00,00,000</w:t>
            </w:r>
          </w:p>
        </w:tc>
        <w:tc>
          <w:tcPr>
            <w:tcW w:type="dxa" w:w="1800"/>
            <w:vAlign w:val="center"/>
          </w:tcPr>
          <w:p>
            <w:pPr>
              <w:spacing w:after="0"/>
            </w:pPr>
            <w:r>
              <w:rPr>
                <w:b w:val="false"/>
                <w:bCs w:val="false"/>
                <w:color w:val="1E293B"/>
                <w:sz w:val="20"/>
                <w:szCs w:val="20"/>
              </w:rPr>
              <w:t xml:space="preserve">0 (unutilised)</w:t>
            </w:r>
          </w:p>
        </w:tc>
        <w:tc>
          <w:tcPr>
            <w:tcW w:type="dxa" w:w="1400"/>
            <w:vAlign w:val="center"/>
          </w:tcPr>
          <w:p>
            <w:pPr>
              <w:spacing w:after="0"/>
            </w:pPr>
            <w:r>
              <w:rPr>
                <w:b w:val="false"/>
                <w:bCs w:val="false"/>
                <w:color w:val="1E293B"/>
                <w:sz w:val="20"/>
                <w:szCs w:val="20"/>
              </w:rPr>
              <w:t xml:space="preserve">12.00% p.a.</w:t>
            </w:r>
          </w:p>
        </w:tc>
        <w:tc>
          <w:tcPr>
            <w:tcW w:type="dxa" w:w="2000"/>
            <w:vAlign w:val="center"/>
          </w:tcPr>
          <w:p>
            <w:pPr>
              <w:spacing w:after="0"/>
            </w:pPr>
            <w:r>
              <w:rPr>
                <w:b w:val="false"/>
                <w:bCs w:val="false"/>
                <w:color w:val="1E293B"/>
                <w:sz w:val="20"/>
                <w:szCs w:val="20"/>
              </w:rPr>
              <w:t xml:space="preserve">Annual renewal</w:t>
            </w:r>
          </w:p>
        </w:tc>
        <w:tc>
          <w:tcPr>
            <w:tcW w:type="dxa" w:w="2200"/>
            <w:vAlign w:val="center"/>
          </w:tcPr>
          <w:p>
            <w:pPr>
              <w:spacing w:after="0"/>
            </w:pPr>
            <w:r>
              <w:rPr>
                <w:b w:val="false"/>
                <w:bCs w:val="false"/>
                <w:color w:val="1E293B"/>
                <w:sz w:val="20"/>
                <w:szCs w:val="20"/>
              </w:rPr>
              <w:t xml:space="preserve">Clean — no collateral</w:t>
            </w:r>
          </w:p>
        </w:tc>
        <w:tc>
          <w:tcPr>
            <w:tcW w:type="dxa" w:w="1200"/>
            <w:vAlign w:val="center"/>
          </w:tcPr>
          <w:p>
            <w:pPr>
              <w:spacing w:after="0"/>
            </w:pPr>
            <w:r>
              <w:rPr>
                <w:b w:val="false"/>
                <w:bCs w:val="false"/>
                <w:color w:val="1E293B"/>
                <w:sz w:val="20"/>
                <w:szCs w:val="20"/>
              </w:rPr>
              <w:t xml:space="preserve">Active — unused</w:t>
            </w:r>
          </w:p>
        </w:tc>
      </w:tr>
      <w:tr>
        <w:trPr>
          <w:tblHeader w:val="false"/>
        </w:trPr>
        <w:tc>
          <w:tcPr>
            <w:tcW w:type="dxa" w:w="2200"/>
            <w:vAlign w:val="center"/>
          </w:tcPr>
          <w:p>
            <w:pPr>
              <w:spacing w:after="0"/>
            </w:pPr>
            <w:r>
              <w:rPr>
                <w:b w:val="false"/>
                <w:bCs w:val="false"/>
                <w:color w:val="1E293B"/>
                <w:sz w:val="20"/>
                <w:szCs w:val="20"/>
              </w:rPr>
              <w:t xml:space="preserve">Bank Guarantee</w:t>
            </w:r>
          </w:p>
        </w:tc>
        <w:tc>
          <w:tcPr>
            <w:tcW w:type="dxa" w:w="1600"/>
            <w:vAlign w:val="center"/>
          </w:tcPr>
          <w:p>
            <w:pPr>
              <w:spacing w:after="0"/>
            </w:pPr>
            <w:r>
              <w:rPr>
                <w:b w:val="false"/>
                <w:bCs w:val="false"/>
                <w:color w:val="1E293B"/>
                <w:sz w:val="20"/>
                <w:szCs w:val="20"/>
              </w:rPr>
              <w:t xml:space="preserve">HDFC Bank Ltd.</w:t>
            </w:r>
          </w:p>
        </w:tc>
        <w:tc>
          <w:tcPr>
            <w:tcW w:type="dxa" w:w="1800"/>
            <w:vAlign w:val="center"/>
          </w:tcPr>
          <w:p>
            <w:pPr>
              <w:spacing w:after="0"/>
            </w:pPr>
            <w:r>
              <w:rPr>
                <w:b w:val="false"/>
                <w:bCs w:val="false"/>
                <w:color w:val="1E293B"/>
                <w:sz w:val="20"/>
                <w:szCs w:val="20"/>
              </w:rPr>
              <w:t xml:space="preserve">50,00,000</w:t>
            </w:r>
          </w:p>
        </w:tc>
        <w:tc>
          <w:tcPr>
            <w:tcW w:type="dxa" w:w="1800"/>
            <w:vAlign w:val="center"/>
          </w:tcPr>
          <w:p>
            <w:pPr>
              <w:spacing w:after="0"/>
            </w:pPr>
            <w:r>
              <w:rPr>
                <w:b w:val="false"/>
                <w:bCs w:val="false"/>
                <w:color w:val="1E293B"/>
                <w:sz w:val="20"/>
                <w:szCs w:val="20"/>
              </w:rPr>
              <w:t xml:space="preserve">0 (no BG issued)</w:t>
            </w:r>
          </w:p>
        </w:tc>
        <w:tc>
          <w:tcPr>
            <w:tcW w:type="dxa" w:w="1400"/>
            <w:vAlign w:val="center"/>
          </w:tcPr>
          <w:p>
            <w:pPr>
              <w:spacing w:after="0"/>
            </w:pPr>
            <w:r>
              <w:rPr>
                <w:b w:val="false"/>
                <w:bCs w:val="false"/>
                <w:color w:val="1E293B"/>
                <w:sz w:val="20"/>
                <w:szCs w:val="20"/>
              </w:rPr>
              <w:t xml:space="preserve">1.5% commission p.a.</w:t>
            </w:r>
          </w:p>
        </w:tc>
        <w:tc>
          <w:tcPr>
            <w:tcW w:type="dxa" w:w="2000"/>
            <w:vAlign w:val="center"/>
          </w:tcPr>
          <w:p>
            <w:pPr>
              <w:spacing w:after="0"/>
            </w:pPr>
            <w:r>
              <w:rPr>
                <w:b w:val="false"/>
                <w:bCs w:val="false"/>
                <w:color w:val="1E293B"/>
                <w:sz w:val="20"/>
                <w:szCs w:val="20"/>
              </w:rPr>
              <w:t xml:space="preserve">Annual renewal</w:t>
            </w:r>
          </w:p>
        </w:tc>
        <w:tc>
          <w:tcPr>
            <w:tcW w:type="dxa" w:w="2200"/>
            <w:vAlign w:val="center"/>
          </w:tcPr>
          <w:p>
            <w:pPr>
              <w:spacing w:after="0"/>
            </w:pPr>
            <w:r>
              <w:rPr>
                <w:b w:val="false"/>
                <w:bCs w:val="false"/>
                <w:color w:val="1E293B"/>
                <w:sz w:val="20"/>
                <w:szCs w:val="20"/>
              </w:rPr>
              <w:t xml:space="preserve">100% cash margin (FD backed)</w:t>
            </w:r>
          </w:p>
        </w:tc>
        <w:tc>
          <w:tcPr>
            <w:tcW w:type="dxa" w:w="1200"/>
            <w:vAlign w:val="center"/>
          </w:tcPr>
          <w:p>
            <w:pPr>
              <w:spacing w:after="0"/>
            </w:pPr>
            <w:r>
              <w:rPr>
                <w:b w:val="false"/>
                <w:bCs w:val="false"/>
                <w:color w:val="1E293B"/>
                <w:sz w:val="20"/>
                <w:szCs w:val="20"/>
              </w:rPr>
              <w:t xml:space="preserve">Active — no BG issued</w:t>
            </w:r>
          </w:p>
        </w:tc>
      </w:tr>
      <w:tr>
        <w:trPr>
          <w:tblHeader w:val="false"/>
        </w:trPr>
        <w:tc>
          <w:tcPr>
            <w:tcW w:type="dxa" w:w="2200"/>
            <w:vAlign w:val="center"/>
          </w:tcPr>
          <w:p>
            <w:pPr>
              <w:spacing w:after="0"/>
            </w:pPr>
            <w:r>
              <w:rPr>
                <w:b w:val="false"/>
                <w:bCs w:val="false"/>
                <w:color w:val="1E293B"/>
                <w:sz w:val="20"/>
                <w:szCs w:val="20"/>
              </w:rPr>
              <w:t xml:space="preserve">Equipment Finance (closed)</w:t>
            </w:r>
          </w:p>
        </w:tc>
        <w:tc>
          <w:tcPr>
            <w:tcW w:type="dxa" w:w="1600"/>
            <w:vAlign w:val="center"/>
          </w:tcPr>
          <w:p>
            <w:pPr>
              <w:spacing w:after="0"/>
            </w:pPr>
            <w:r>
              <w:rPr>
                <w:b w:val="false"/>
                <w:bCs w:val="false"/>
                <w:color w:val="1E293B"/>
                <w:sz w:val="20"/>
                <w:szCs w:val="20"/>
              </w:rPr>
              <w:t xml:space="preserve">ICICI Bank Ltd.</w:t>
            </w:r>
          </w:p>
        </w:tc>
        <w:tc>
          <w:tcPr>
            <w:tcW w:type="dxa" w:w="1800"/>
            <w:vAlign w:val="center"/>
          </w:tcPr>
          <w:p>
            <w:pPr>
              <w:spacing w:after="0"/>
            </w:pPr>
            <w:r>
              <w:rPr>
                <w:b w:val="false"/>
                <w:bCs w:val="false"/>
                <w:color w:val="1E293B"/>
                <w:sz w:val="20"/>
                <w:szCs w:val="20"/>
              </w:rPr>
              <w:t xml:space="preserve">1,20,00,000</w:t>
            </w:r>
          </w:p>
        </w:tc>
        <w:tc>
          <w:tcPr>
            <w:tcW w:type="dxa" w:w="1800"/>
            <w:vAlign w:val="center"/>
          </w:tcPr>
          <w:p>
            <w:pPr>
              <w:spacing w:after="0"/>
            </w:pPr>
            <w:r>
              <w:rPr>
                <w:b w:val="false"/>
                <w:bCs w:val="false"/>
                <w:color w:val="1E293B"/>
                <w:sz w:val="20"/>
                <w:szCs w:val="20"/>
              </w:rPr>
              <w:t xml:space="preserve">0 (fully repaid)</w:t>
            </w:r>
          </w:p>
        </w:tc>
        <w:tc>
          <w:tcPr>
            <w:tcW w:type="dxa" w:w="1400"/>
            <w:vAlign w:val="center"/>
          </w:tcPr>
          <w:p>
            <w:pPr>
              <w:spacing w:after="0"/>
            </w:pPr>
            <w:r>
              <w:rPr>
                <w:b w:val="false"/>
                <w:bCs w:val="false"/>
                <w:color w:val="1E293B"/>
                <w:sz w:val="20"/>
                <w:szCs w:val="20"/>
              </w:rPr>
              <w:t xml:space="preserve">11.00% p.a.</w:t>
            </w:r>
          </w:p>
        </w:tc>
        <w:tc>
          <w:tcPr>
            <w:tcW w:type="dxa" w:w="2000"/>
            <w:vAlign w:val="center"/>
          </w:tcPr>
          <w:p>
            <w:pPr>
              <w:spacing w:after="0"/>
            </w:pPr>
            <w:r>
              <w:rPr>
                <w:b w:val="false"/>
                <w:bCs w:val="false"/>
                <w:color w:val="1E293B"/>
                <w:sz w:val="20"/>
                <w:szCs w:val="20"/>
              </w:rPr>
              <w:t xml:space="preserve">3 years (Apr 2020–Mar 2023)</w:t>
            </w:r>
          </w:p>
        </w:tc>
        <w:tc>
          <w:tcPr>
            <w:tcW w:type="dxa" w:w="2200"/>
            <w:vAlign w:val="center"/>
          </w:tcPr>
          <w:p>
            <w:pPr>
              <w:spacing w:after="0"/>
            </w:pPr>
            <w:r>
              <w:rPr>
                <w:b w:val="false"/>
                <w:bCs w:val="false"/>
                <w:color w:val="1E293B"/>
                <w:sz w:val="20"/>
                <w:szCs w:val="20"/>
              </w:rPr>
              <w:t xml:space="preserve">Hypothecation of equipment</w:t>
            </w:r>
          </w:p>
        </w:tc>
        <w:tc>
          <w:tcPr>
            <w:tcW w:type="dxa" w:w="1200"/>
            <w:vAlign w:val="center"/>
          </w:tcPr>
          <w:p>
            <w:pPr>
              <w:spacing w:after="0"/>
            </w:pPr>
            <w:r>
              <w:rPr>
                <w:b w:val="false"/>
                <w:bCs w:val="false"/>
                <w:color w:val="1E293B"/>
                <w:sz w:val="20"/>
                <w:szCs w:val="20"/>
              </w:rPr>
              <w:t xml:space="preserve">Closed — fully repaid</w:t>
            </w:r>
          </w:p>
        </w:tc>
      </w:tr>
    </w:tbl>
    <w:p>
      <w:pPr>
        <w:spacing w:after="100"/>
      </w:pPr>
      <w:r>
        <w:rPr>
          <w:sz w:val="22"/>
          <w:szCs w:val="22"/>
        </w:rPr>
        <w:t xml:space="preserve"/>
      </w:r>
    </w:p>
    <w:p>
      <w:pPr>
        <w:spacing w:before="120" w:after="120"/>
      </w:pPr>
      <w:r>
        <w:rPr>
          <w:color w:val="CBD5E1"/>
          <w:sz w:val="18"/>
          <w:szCs w:val="18"/>
        </w:rPr>
        <w:t xml:space="preserve">────────────────────────────────────────────────────────────────────────</w:t>
      </w:r>
    </w:p>
    <w:p>
      <w:pPr>
        <w:pStyle w:val="Heading2"/>
        <w:spacing w:before="200" w:after="100"/>
      </w:pPr>
      <w:r>
        <w:rPr>
          <w:b/>
          <w:bCs/>
          <w:color w:val="B45309"/>
          <w:sz w:val="26"/>
          <w:szCs w:val="26"/>
        </w:rPr>
        <w:t xml:space="preserve">3. Key Financial Ratios — Debt Position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800"/>
            <w:shd w:fill="B45309" w:val="clear"/>
            <w:vAlign w:val="center"/>
          </w:tcPr>
          <w:p>
            <w:pPr>
              <w:spacing w:after="0"/>
            </w:pPr>
            <w:r>
              <w:rPr>
                <w:b/>
                <w:bCs/>
                <w:color w:val="FFFFFF"/>
                <w:sz w:val="20"/>
                <w:szCs w:val="20"/>
              </w:rPr>
              <w:t xml:space="preserve">Metric</w:t>
            </w:r>
          </w:p>
        </w:tc>
        <w:tc>
          <w:tcPr>
            <w:tcW w:type="dxa" w:w="1800"/>
            <w:shd w:fill="B45309" w:val="clear"/>
            <w:vAlign w:val="center"/>
          </w:tcPr>
          <w:p>
            <w:pPr>
              <w:spacing w:after="0"/>
            </w:pPr>
            <w:r>
              <w:rPr>
                <w:b/>
                <w:bCs/>
                <w:color w:val="FFFFFF"/>
                <w:sz w:val="20"/>
                <w:szCs w:val="20"/>
              </w:rPr>
              <w:t xml:space="preserve">Value</w:t>
            </w:r>
          </w:p>
        </w:tc>
        <w:tc>
          <w:tcPr>
            <w:tcW w:type="dxa" w:w="2400"/>
            <w:shd w:fill="B45309" w:val="clear"/>
            <w:vAlign w:val="center"/>
          </w:tcPr>
          <w:p>
            <w:pPr>
              <w:spacing w:after="0"/>
            </w:pPr>
            <w:r>
              <w:rPr>
                <w:b/>
                <w:bCs/>
                <w:color w:val="FFFFFF"/>
                <w:sz w:val="20"/>
                <w:szCs w:val="20"/>
              </w:rPr>
              <w:t xml:space="preserve">Benchmark / Covenant</w:t>
            </w:r>
          </w:p>
        </w:tc>
        <w:tc>
          <w:tcPr>
            <w:tcW w:type="dxa" w:w="2000"/>
            <w:shd w:fill="B45309" w:val="clear"/>
            <w:vAlign w:val="center"/>
          </w:tcPr>
          <w:p>
            <w:pPr>
              <w:spacing w:after="0"/>
            </w:pPr>
            <w:r>
              <w:rPr>
                <w:b/>
                <w:bCs/>
                <w:color w:val="FFFFFF"/>
                <w:sz w:val="20"/>
                <w:szCs w:val="20"/>
              </w:rPr>
              <w:t xml:space="preserve">Status</w:t>
            </w:r>
          </w:p>
        </w:tc>
      </w:tr>
      <w:tr>
        <w:trPr>
          <w:tblHeader w:val="false"/>
        </w:trPr>
        <w:tc>
          <w:tcPr>
            <w:tcW w:type="dxa" w:w="2800"/>
            <w:vAlign w:val="center"/>
          </w:tcPr>
          <w:p>
            <w:pPr>
              <w:spacing w:after="0"/>
            </w:pPr>
            <w:r>
              <w:rPr>
                <w:b w:val="false"/>
                <w:bCs w:val="false"/>
                <w:color w:val="1E293B"/>
                <w:sz w:val="20"/>
                <w:szCs w:val="20"/>
              </w:rPr>
              <w:t xml:space="preserve">Total Debt Outstanding</w:t>
            </w:r>
          </w:p>
        </w:tc>
        <w:tc>
          <w:tcPr>
            <w:tcW w:type="dxa" w:w="1800"/>
            <w:vAlign w:val="center"/>
          </w:tcPr>
          <w:p>
            <w:pPr>
              <w:spacing w:after="0"/>
            </w:pPr>
            <w:r>
              <w:rPr>
                <w:b w:val="false"/>
                <w:bCs w:val="false"/>
                <w:color w:val="1E293B"/>
                <w:sz w:val="20"/>
                <w:szCs w:val="20"/>
              </w:rPr>
              <w:t xml:space="preserve">₹3,84,00,000</w:t>
            </w:r>
          </w:p>
        </w:tc>
        <w:tc>
          <w:tcPr>
            <w:tcW w:type="dxa" w:w="2400"/>
            <w:vAlign w:val="center"/>
          </w:tcPr>
          <w:p>
            <w:pPr>
              <w:spacing w:after="0"/>
            </w:pPr>
            <w:r>
              <w:rPr>
                <w:b w:val="false"/>
                <w:bCs w:val="false"/>
                <w:color w:val="1E293B"/>
                <w:sz w:val="20"/>
                <w:szCs w:val="20"/>
              </w:rPr>
              <w:t xml:space="preserve">&lt; ₹10 crore (investor covenant)</w:t>
            </w:r>
          </w:p>
        </w:tc>
        <w:tc>
          <w:tcPr>
            <w:tcW w:type="dxa" w:w="2000"/>
            <w:vAlign w:val="center"/>
          </w:tcPr>
          <w:p>
            <w:pPr>
              <w:spacing w:after="0"/>
            </w:pPr>
            <w:r>
              <w:rPr>
                <w:b w:val="false"/>
                <w:bCs w:val="false"/>
                <w:color w:val="1E293B"/>
                <w:sz w:val="20"/>
                <w:szCs w:val="20"/>
              </w:rPr>
              <w:t xml:space="preserve">✓ Compliant</w:t>
            </w:r>
          </w:p>
        </w:tc>
      </w:tr>
      <w:tr>
        <w:trPr>
          <w:tblHeader w:val="false"/>
        </w:trPr>
        <w:tc>
          <w:tcPr>
            <w:tcW w:type="dxa" w:w="2800"/>
            <w:vAlign w:val="center"/>
          </w:tcPr>
          <w:p>
            <w:pPr>
              <w:spacing w:after="0"/>
            </w:pPr>
            <w:r>
              <w:rPr>
                <w:b w:val="false"/>
                <w:bCs w:val="false"/>
                <w:color w:val="1E293B"/>
                <w:sz w:val="20"/>
                <w:szCs w:val="20"/>
              </w:rPr>
              <w:t xml:space="preserve">Debt-to-Equity Ratio</w:t>
            </w:r>
          </w:p>
        </w:tc>
        <w:tc>
          <w:tcPr>
            <w:tcW w:type="dxa" w:w="1800"/>
            <w:vAlign w:val="center"/>
          </w:tcPr>
          <w:p>
            <w:pPr>
              <w:spacing w:after="0"/>
            </w:pPr>
            <w:r>
              <w:rPr>
                <w:b w:val="false"/>
                <w:bCs w:val="false"/>
                <w:color w:val="1E293B"/>
                <w:sz w:val="20"/>
                <w:szCs w:val="20"/>
              </w:rPr>
              <w:t xml:space="preserve">0.11x</w:t>
            </w:r>
          </w:p>
        </w:tc>
        <w:tc>
          <w:tcPr>
            <w:tcW w:type="dxa" w:w="2400"/>
            <w:vAlign w:val="center"/>
          </w:tcPr>
          <w:p>
            <w:pPr>
              <w:spacing w:after="0"/>
            </w:pPr>
            <w:r>
              <w:rPr>
                <w:b w:val="false"/>
                <w:bCs w:val="false"/>
                <w:color w:val="1E293B"/>
                <w:sz w:val="20"/>
                <w:szCs w:val="20"/>
              </w:rPr>
              <w:t xml:space="preserve">&lt; 0.5x (covenant)</w:t>
            </w:r>
          </w:p>
        </w:tc>
        <w:tc>
          <w:tcPr>
            <w:tcW w:type="dxa" w:w="2000"/>
            <w:vAlign w:val="center"/>
          </w:tcPr>
          <w:p>
            <w:pPr>
              <w:spacing w:after="0"/>
            </w:pPr>
            <w:r>
              <w:rPr>
                <w:b w:val="false"/>
                <w:bCs w:val="false"/>
                <w:color w:val="1E293B"/>
                <w:sz w:val="20"/>
                <w:szCs w:val="20"/>
              </w:rPr>
              <w:t xml:space="preserve">✓ Compliant</w:t>
            </w:r>
          </w:p>
        </w:tc>
      </w:tr>
      <w:tr>
        <w:trPr>
          <w:tblHeader w:val="false"/>
        </w:trPr>
        <w:tc>
          <w:tcPr>
            <w:tcW w:type="dxa" w:w="2800"/>
            <w:vAlign w:val="center"/>
          </w:tcPr>
          <w:p>
            <w:pPr>
              <w:spacing w:after="0"/>
            </w:pPr>
            <w:r>
              <w:rPr>
                <w:b w:val="false"/>
                <w:bCs w:val="false"/>
                <w:color w:val="1E293B"/>
                <w:sz w:val="20"/>
                <w:szCs w:val="20"/>
              </w:rPr>
              <w:t xml:space="preserve">Debt-to-EBITDA</w:t>
            </w:r>
          </w:p>
        </w:tc>
        <w:tc>
          <w:tcPr>
            <w:tcW w:type="dxa" w:w="1800"/>
            <w:vAlign w:val="center"/>
          </w:tcPr>
          <w:p>
            <w:pPr>
              <w:spacing w:after="0"/>
            </w:pPr>
            <w:r>
              <w:rPr>
                <w:b w:val="false"/>
                <w:bCs w:val="false"/>
                <w:color w:val="1E293B"/>
                <w:sz w:val="20"/>
                <w:szCs w:val="20"/>
              </w:rPr>
              <w:t xml:space="preserve">0.61x</w:t>
            </w:r>
          </w:p>
        </w:tc>
        <w:tc>
          <w:tcPr>
            <w:tcW w:type="dxa" w:w="2400"/>
            <w:vAlign w:val="center"/>
          </w:tcPr>
          <w:p>
            <w:pPr>
              <w:spacing w:after="0"/>
            </w:pPr>
            <w:r>
              <w:rPr>
                <w:b w:val="false"/>
                <w:bCs w:val="false"/>
                <w:color w:val="1E293B"/>
                <w:sz w:val="20"/>
                <w:szCs w:val="20"/>
              </w:rPr>
              <w:t xml:space="preserve">&lt; 2.0x (covenant)</w:t>
            </w:r>
          </w:p>
        </w:tc>
        <w:tc>
          <w:tcPr>
            <w:tcW w:type="dxa" w:w="2000"/>
            <w:vAlign w:val="center"/>
          </w:tcPr>
          <w:p>
            <w:pPr>
              <w:spacing w:after="0"/>
            </w:pPr>
            <w:r>
              <w:rPr>
                <w:b w:val="false"/>
                <w:bCs w:val="false"/>
                <w:color w:val="1E293B"/>
                <w:sz w:val="20"/>
                <w:szCs w:val="20"/>
              </w:rPr>
              <w:t xml:space="preserve">✓ Compliant</w:t>
            </w:r>
          </w:p>
        </w:tc>
      </w:tr>
      <w:tr>
        <w:trPr>
          <w:tblHeader w:val="false"/>
        </w:trPr>
        <w:tc>
          <w:tcPr>
            <w:tcW w:type="dxa" w:w="2800"/>
            <w:vAlign w:val="center"/>
          </w:tcPr>
          <w:p>
            <w:pPr>
              <w:spacing w:after="0"/>
            </w:pPr>
            <w:r>
              <w:rPr>
                <w:b w:val="false"/>
                <w:bCs w:val="false"/>
                <w:color w:val="1E293B"/>
                <w:sz w:val="20"/>
                <w:szCs w:val="20"/>
              </w:rPr>
              <w:t xml:space="preserve">Interest Coverage Ratio</w:t>
            </w:r>
          </w:p>
        </w:tc>
        <w:tc>
          <w:tcPr>
            <w:tcW w:type="dxa" w:w="1800"/>
            <w:vAlign w:val="center"/>
          </w:tcPr>
          <w:p>
            <w:pPr>
              <w:spacing w:after="0"/>
            </w:pPr>
            <w:r>
              <w:rPr>
                <w:b w:val="false"/>
                <w:bCs w:val="false"/>
                <w:color w:val="1E293B"/>
                <w:sz w:val="20"/>
                <w:szCs w:val="20"/>
              </w:rPr>
              <w:t xml:space="preserve">50.2x</w:t>
            </w:r>
          </w:p>
        </w:tc>
        <w:tc>
          <w:tcPr>
            <w:tcW w:type="dxa" w:w="2400"/>
            <w:vAlign w:val="center"/>
          </w:tcPr>
          <w:p>
            <w:pPr>
              <w:spacing w:after="0"/>
            </w:pPr>
            <w:r>
              <w:rPr>
                <w:b w:val="false"/>
                <w:bCs w:val="false"/>
                <w:color w:val="1E293B"/>
                <w:sz w:val="20"/>
                <w:szCs w:val="20"/>
              </w:rPr>
              <w:t xml:space="preserve">&gt; 3.0x (covenant)</w:t>
            </w:r>
          </w:p>
        </w:tc>
        <w:tc>
          <w:tcPr>
            <w:tcW w:type="dxa" w:w="2000"/>
            <w:vAlign w:val="center"/>
          </w:tcPr>
          <w:p>
            <w:pPr>
              <w:spacing w:after="0"/>
            </w:pPr>
            <w:r>
              <w:rPr>
                <w:b w:val="false"/>
                <w:bCs w:val="false"/>
                <w:color w:val="1E293B"/>
                <w:sz w:val="20"/>
                <w:szCs w:val="20"/>
              </w:rPr>
              <w:t xml:space="preserve">✓ Compliant</w:t>
            </w:r>
          </w:p>
        </w:tc>
      </w:tr>
      <w:tr>
        <w:trPr>
          <w:tblHeader w:val="false"/>
        </w:trPr>
        <w:tc>
          <w:tcPr>
            <w:tcW w:type="dxa" w:w="2800"/>
            <w:vAlign w:val="center"/>
          </w:tcPr>
          <w:p>
            <w:pPr>
              <w:spacing w:after="0"/>
            </w:pPr>
            <w:r>
              <w:rPr>
                <w:b w:val="false"/>
                <w:bCs w:val="false"/>
                <w:color w:val="1E293B"/>
                <w:sz w:val="20"/>
                <w:szCs w:val="20"/>
              </w:rPr>
              <w:t xml:space="preserve">Debt Service Coverage (DSCR)</w:t>
            </w:r>
          </w:p>
        </w:tc>
        <w:tc>
          <w:tcPr>
            <w:tcW w:type="dxa" w:w="1800"/>
            <w:vAlign w:val="center"/>
          </w:tcPr>
          <w:p>
            <w:pPr>
              <w:spacing w:after="0"/>
            </w:pPr>
            <w:r>
              <w:rPr>
                <w:b w:val="false"/>
                <w:bCs w:val="false"/>
                <w:color w:val="1E293B"/>
                <w:sz w:val="20"/>
                <w:szCs w:val="20"/>
              </w:rPr>
              <w:t xml:space="preserve">4.8x</w:t>
            </w:r>
          </w:p>
        </w:tc>
        <w:tc>
          <w:tcPr>
            <w:tcW w:type="dxa" w:w="2400"/>
            <w:vAlign w:val="center"/>
          </w:tcPr>
          <w:p>
            <w:pPr>
              <w:spacing w:after="0"/>
            </w:pPr>
            <w:r>
              <w:rPr>
                <w:b w:val="false"/>
                <w:bCs w:val="false"/>
                <w:color w:val="1E293B"/>
                <w:sz w:val="20"/>
                <w:szCs w:val="20"/>
              </w:rPr>
              <w:t xml:space="preserve">&gt; 1.25x (lender requirement)</w:t>
            </w:r>
          </w:p>
        </w:tc>
        <w:tc>
          <w:tcPr>
            <w:tcW w:type="dxa" w:w="2000"/>
            <w:vAlign w:val="center"/>
          </w:tcPr>
          <w:p>
            <w:pPr>
              <w:spacing w:after="0"/>
            </w:pPr>
            <w:r>
              <w:rPr>
                <w:b w:val="false"/>
                <w:bCs w:val="false"/>
                <w:color w:val="1E293B"/>
                <w:sz w:val="20"/>
                <w:szCs w:val="20"/>
              </w:rPr>
              <w:t xml:space="preserve">✓ Compliant</w:t>
            </w:r>
          </w:p>
        </w:tc>
      </w:tr>
      <w:tr>
        <w:trPr>
          <w:tblHeader w:val="false"/>
        </w:trPr>
        <w:tc>
          <w:tcPr>
            <w:tcW w:type="dxa" w:w="2800"/>
            <w:vAlign w:val="center"/>
          </w:tcPr>
          <w:p>
            <w:pPr>
              <w:spacing w:after="0"/>
            </w:pPr>
            <w:r>
              <w:rPr>
                <w:b w:val="false"/>
                <w:bCs w:val="false"/>
                <w:color w:val="1E293B"/>
                <w:sz w:val="20"/>
                <w:szCs w:val="20"/>
              </w:rPr>
              <w:t xml:space="preserve">Current Ratio</w:t>
            </w:r>
          </w:p>
        </w:tc>
        <w:tc>
          <w:tcPr>
            <w:tcW w:type="dxa" w:w="1800"/>
            <w:vAlign w:val="center"/>
          </w:tcPr>
          <w:p>
            <w:pPr>
              <w:spacing w:after="0"/>
            </w:pPr>
            <w:r>
              <w:rPr>
                <w:b w:val="false"/>
                <w:bCs w:val="false"/>
                <w:color w:val="1E293B"/>
                <w:sz w:val="20"/>
                <w:szCs w:val="20"/>
              </w:rPr>
              <w:t xml:space="preserve">3.4x</w:t>
            </w:r>
          </w:p>
        </w:tc>
        <w:tc>
          <w:tcPr>
            <w:tcW w:type="dxa" w:w="2400"/>
            <w:vAlign w:val="center"/>
          </w:tcPr>
          <w:p>
            <w:pPr>
              <w:spacing w:after="0"/>
            </w:pPr>
            <w:r>
              <w:rPr>
                <w:b w:val="false"/>
                <w:bCs w:val="false"/>
                <w:color w:val="1E293B"/>
                <w:sz w:val="20"/>
                <w:szCs w:val="20"/>
              </w:rPr>
              <w:t xml:space="preserve">&gt; 1.5x (covenant)</w:t>
            </w:r>
          </w:p>
        </w:tc>
        <w:tc>
          <w:tcPr>
            <w:tcW w:type="dxa" w:w="2000"/>
            <w:vAlign w:val="center"/>
          </w:tcPr>
          <w:p>
            <w:pPr>
              <w:spacing w:after="0"/>
            </w:pPr>
            <w:r>
              <w:rPr>
                <w:b w:val="false"/>
                <w:bCs w:val="false"/>
                <w:color w:val="1E293B"/>
                <w:sz w:val="20"/>
                <w:szCs w:val="20"/>
              </w:rPr>
              <w:t xml:space="preserve">✓ Compliant</w:t>
            </w:r>
          </w:p>
        </w:tc>
      </w:tr>
      <w:tr>
        <w:trPr>
          <w:tblHeader w:val="false"/>
        </w:trPr>
        <w:tc>
          <w:tcPr>
            <w:tcW w:type="dxa" w:w="2800"/>
            <w:vAlign w:val="center"/>
          </w:tcPr>
          <w:p>
            <w:pPr>
              <w:spacing w:after="0"/>
            </w:pPr>
            <w:r>
              <w:rPr>
                <w:b w:val="false"/>
                <w:bCs w:val="false"/>
                <w:color w:val="1E293B"/>
                <w:sz w:val="20"/>
                <w:szCs w:val="20"/>
              </w:rPr>
              <w:t xml:space="preserve">Net Debt / ARR</w:t>
            </w:r>
          </w:p>
        </w:tc>
        <w:tc>
          <w:tcPr>
            <w:tcW w:type="dxa" w:w="1800"/>
            <w:vAlign w:val="center"/>
          </w:tcPr>
          <w:p>
            <w:pPr>
              <w:spacing w:after="0"/>
            </w:pPr>
            <w:r>
              <w:rPr>
                <w:b w:val="false"/>
                <w:bCs w:val="false"/>
                <w:color w:val="1E293B"/>
                <w:sz w:val="20"/>
                <w:szCs w:val="20"/>
              </w:rPr>
              <w:t xml:space="preserve">0.10x</w:t>
            </w:r>
          </w:p>
        </w:tc>
        <w:tc>
          <w:tcPr>
            <w:tcW w:type="dxa" w:w="2400"/>
            <w:vAlign w:val="center"/>
          </w:tcPr>
          <w:p>
            <w:pPr>
              <w:spacing w:after="0"/>
            </w:pPr>
            <w:r>
              <w:rPr>
                <w:b w:val="false"/>
                <w:bCs w:val="false"/>
                <w:color w:val="1E293B"/>
                <w:sz w:val="20"/>
                <w:szCs w:val="20"/>
              </w:rPr>
              <w:t xml:space="preserve">&lt; 0.5x (SaaS benchmark)</w:t>
            </w:r>
          </w:p>
        </w:tc>
        <w:tc>
          <w:tcPr>
            <w:tcW w:type="dxa" w:w="2000"/>
            <w:vAlign w:val="center"/>
          </w:tcPr>
          <w:p>
            <w:pPr>
              <w:spacing w:after="0"/>
            </w:pPr>
            <w:r>
              <w:rPr>
                <w:b w:val="false"/>
                <w:bCs w:val="false"/>
                <w:color w:val="1E293B"/>
                <w:sz w:val="20"/>
                <w:szCs w:val="20"/>
              </w:rPr>
              <w:t xml:space="preserve">✓ Strong</w:t>
            </w:r>
          </w:p>
        </w:tc>
      </w:tr>
    </w:tbl>
    <w:p>
      <w:pPr>
        <w:spacing w:after="100"/>
      </w:pPr>
      <w:r>
        <w:rPr>
          <w:sz w:val="22"/>
          <w:szCs w:val="22"/>
        </w:rPr>
        <w:t xml:space="preserve"/>
      </w:r>
    </w:p>
    <w:p>
      <w:pPr>
        <w:spacing w:before="120" w:after="120"/>
      </w:pPr>
      <w:r>
        <w:rPr>
          <w:color w:val="CBD5E1"/>
          <w:sz w:val="18"/>
          <w:szCs w:val="18"/>
        </w:rPr>
        <w:t xml:space="preserve">────────────────────────────────────────────────────────────────────────</w:t>
      </w:r>
    </w:p>
    <w:p>
      <w:pPr>
        <w:pStyle w:val="Heading2"/>
        <w:spacing w:before="200" w:after="100"/>
      </w:pPr>
      <w:r>
        <w:rPr>
          <w:b/>
          <w:bCs/>
          <w:color w:val="B45309"/>
          <w:sz w:val="26"/>
          <w:szCs w:val="26"/>
        </w:rPr>
        <w:t xml:space="preserve">4. Loan Purpose &amp; Utilisation</w:t>
      </w:r>
    </w:p>
    <w:p>
      <w:pPr>
        <w:spacing w:before="160" w:after="80"/>
      </w:pPr>
      <w:r>
        <w:rPr>
          <w:b/>
          <w:bCs/>
          <w:color w:val="334155"/>
          <w:sz w:val="24"/>
          <w:szCs w:val="24"/>
        </w:rPr>
        <w:t xml:space="preserve">4.1 Term Loan — IT Infrastructure (₹5 crore)</w:t>
      </w:r>
    </w:p>
    <w:p>
      <w:pPr>
        <w:spacing w:after="80"/>
      </w:pPr>
      <w:r>
        <w:rPr>
          <w:b/>
          <w:bCs/>
          <w:sz w:val="22"/>
          <w:szCs w:val="22"/>
        </w:rPr>
        <w:t xml:space="preserve">Purpose: </w:t>
      </w:r>
      <w:r>
        <w:rPr>
          <w:sz w:val="22"/>
          <w:szCs w:val="22"/>
        </w:rPr>
        <w:t xml:space="preserve">Purchase of cloud infrastructure, servers, networking equipment, and office fit-out for Bengaluru HQ expansion in FY2022</w:t>
      </w:r>
    </w:p>
    <w:p>
      <w:pPr>
        <w:spacing w:after="80"/>
      </w:pPr>
      <w:r>
        <w:rPr>
          <w:b/>
          <w:bCs/>
          <w:sz w:val="22"/>
          <w:szCs w:val="22"/>
        </w:rPr>
        <w:t xml:space="preserve">Amount Sanctioned: </w:t>
      </w:r>
      <w:r>
        <w:rPr>
          <w:sz w:val="22"/>
          <w:szCs w:val="22"/>
        </w:rPr>
        <w:t xml:space="preserve">₹5,00,00,000</w:t>
      </w:r>
    </w:p>
    <w:p>
      <w:pPr>
        <w:spacing w:after="80"/>
      </w:pPr>
      <w:r>
        <w:rPr>
          <w:b/>
          <w:bCs/>
          <w:sz w:val="22"/>
          <w:szCs w:val="22"/>
        </w:rPr>
        <w:t xml:space="preserve">Amount Drawn: </w:t>
      </w:r>
      <w:r>
        <w:rPr>
          <w:sz w:val="22"/>
          <w:szCs w:val="22"/>
        </w:rPr>
        <w:t xml:space="preserve">₹5,00,00,000 (fully drawn in April 2022)</w:t>
      </w:r>
    </w:p>
    <w:p>
      <w:pPr>
        <w:spacing w:after="80"/>
      </w:pPr>
      <w:r>
        <w:rPr>
          <w:b/>
          <w:bCs/>
          <w:sz w:val="22"/>
          <w:szCs w:val="22"/>
        </w:rPr>
        <w:t xml:space="preserve">Amount Outstanding: </w:t>
      </w:r>
      <w:r>
        <w:rPr>
          <w:sz w:val="22"/>
          <w:szCs w:val="22"/>
        </w:rPr>
        <w:t xml:space="preserve">₹3,84,00,000 (as at 31 March 2025)</w:t>
      </w:r>
    </w:p>
    <w:p>
      <w:pPr>
        <w:spacing w:after="80"/>
      </w:pPr>
      <w:r>
        <w:rPr>
          <w:b/>
          <w:bCs/>
          <w:sz w:val="22"/>
          <w:szCs w:val="22"/>
        </w:rPr>
        <w:t xml:space="preserve">Utilisation: </w:t>
      </w:r>
      <w:r>
        <w:rPr>
          <w:sz w:val="22"/>
          <w:szCs w:val="22"/>
        </w:rPr>
        <w:t xml:space="preserve">₹1,18,40,000 — servers &amp; networking equipment; ₹2,84,00,000 — AWS reserved instances (3-year); ₹97,60,000 — office fit-out</w:t>
      </w:r>
    </w:p>
    <w:p>
      <w:pPr>
        <w:spacing w:after="100"/>
      </w:pPr>
      <w:r>
        <w:rPr>
          <w:sz w:val="22"/>
          <w:szCs w:val="22"/>
        </w:rPr>
        <w:t xml:space="preserve"/>
      </w:r>
    </w:p>
    <w:p>
      <w:pPr>
        <w:spacing w:before="160" w:after="80"/>
      </w:pPr>
      <w:r>
        <w:rPr>
          <w:b/>
          <w:bCs/>
          <w:color w:val="334155"/>
          <w:sz w:val="24"/>
          <w:szCs w:val="24"/>
        </w:rPr>
        <w:t xml:space="preserve">4.2 Working Capital OD — ₹2 crore (Unutilised)</w:t>
      </w:r>
    </w:p>
    <w:p>
      <w:pPr>
        <w:spacing w:after="80"/>
      </w:pPr>
      <w:r>
        <w:rPr>
          <w:b/>
          <w:bCs/>
          <w:sz w:val="22"/>
          <w:szCs w:val="22"/>
        </w:rPr>
        <w:t xml:space="preserve">Purpose: </w:t>
      </w:r>
      <w:r>
        <w:rPr>
          <w:sz w:val="22"/>
          <w:szCs w:val="22"/>
        </w:rPr>
        <w:t xml:space="preserve">Buffer for receivables management and seasonal cash flow fluctuations</w:t>
      </w:r>
    </w:p>
    <w:p>
      <w:pPr>
        <w:spacing w:after="80"/>
      </w:pPr>
      <w:r>
        <w:rPr>
          <w:b/>
          <w:bCs/>
          <w:sz w:val="22"/>
          <w:szCs w:val="22"/>
        </w:rPr>
        <w:t xml:space="preserve">Utilisation: </w:t>
      </w:r>
      <w:r>
        <w:rPr>
          <w:sz w:val="22"/>
          <w:szCs w:val="22"/>
        </w:rPr>
        <w:t xml:space="preserve">NIL — TechNova has not drawn on this facility in FY2024-25</w:t>
      </w:r>
    </w:p>
    <w:p>
      <w:pPr>
        <w:spacing w:after="80"/>
      </w:pPr>
      <w:r>
        <w:rPr>
          <w:b/>
          <w:bCs/>
          <w:sz w:val="22"/>
          <w:szCs w:val="22"/>
        </w:rPr>
        <w:t xml:space="preserve">Reason Unutilised: </w:t>
      </w:r>
      <w:r>
        <w:rPr>
          <w:sz w:val="22"/>
          <w:szCs w:val="22"/>
        </w:rPr>
        <w:t xml:space="preserve">Strong ARR-backed recurring cash flow makes working capital credit unnecessary at current scale</w:t>
      </w:r>
    </w:p>
    <w:p>
      <w:pPr>
        <w:spacing w:before="120" w:after="120"/>
      </w:pPr>
      <w:r>
        <w:rPr>
          <w:color w:val="CBD5E1"/>
          <w:sz w:val="18"/>
          <w:szCs w:val="18"/>
        </w:rPr>
        <w:t xml:space="preserve">────────────────────────────────────────────────────────────────────────</w:t>
      </w:r>
    </w:p>
    <w:p>
      <w:pPr>
        <w:pStyle w:val="Heading2"/>
        <w:spacing w:before="200" w:after="100"/>
      </w:pPr>
      <w:r>
        <w:rPr>
          <w:b/>
          <w:bCs/>
          <w:color w:val="B45309"/>
          <w:sz w:val="26"/>
          <w:szCs w:val="26"/>
        </w:rPr>
        <w:t xml:space="preserve">5. Upcoming Loan Obligations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000"/>
            <w:shd w:fill="B45309" w:val="clear"/>
            <w:vAlign w:val="center"/>
          </w:tcPr>
          <w:p>
            <w:pPr>
              <w:spacing w:after="0"/>
            </w:pPr>
            <w:r>
              <w:rPr>
                <w:b/>
                <w:bCs/>
                <w:color w:val="FFFFFF"/>
                <w:sz w:val="20"/>
                <w:szCs w:val="20"/>
              </w:rPr>
              <w:t xml:space="preserve">Month</w:t>
            </w:r>
          </w:p>
        </w:tc>
        <w:tc>
          <w:tcPr>
            <w:tcW w:type="dxa" w:w="1800"/>
            <w:shd w:fill="B45309" w:val="clear"/>
            <w:vAlign w:val="center"/>
          </w:tcPr>
          <w:p>
            <w:pPr>
              <w:spacing w:after="0"/>
            </w:pPr>
            <w:r>
              <w:rPr>
                <w:b/>
                <w:bCs/>
                <w:color w:val="FFFFFF"/>
                <w:sz w:val="20"/>
                <w:szCs w:val="20"/>
              </w:rPr>
              <w:t xml:space="preserve">Principal (₹)</w:t>
            </w:r>
          </w:p>
        </w:tc>
        <w:tc>
          <w:tcPr>
            <w:tcW w:type="dxa" w:w="1800"/>
            <w:shd w:fill="B45309" w:val="clear"/>
            <w:vAlign w:val="center"/>
          </w:tcPr>
          <w:p>
            <w:pPr>
              <w:spacing w:after="0"/>
            </w:pPr>
            <w:r>
              <w:rPr>
                <w:b/>
                <w:bCs/>
                <w:color w:val="FFFFFF"/>
                <w:sz w:val="20"/>
                <w:szCs w:val="20"/>
              </w:rPr>
              <w:t xml:space="preserve">Interest (₹)</w:t>
            </w:r>
          </w:p>
        </w:tc>
        <w:tc>
          <w:tcPr>
            <w:tcW w:type="dxa" w:w="1800"/>
            <w:shd w:fill="B45309" w:val="clear"/>
            <w:vAlign w:val="center"/>
          </w:tcPr>
          <w:p>
            <w:pPr>
              <w:spacing w:after="0"/>
            </w:pPr>
            <w:r>
              <w:rPr>
                <w:b/>
                <w:bCs/>
                <w:color w:val="FFFFFF"/>
                <w:sz w:val="20"/>
                <w:szCs w:val="20"/>
              </w:rPr>
              <w:t xml:space="preserve">Total EMI (₹)</w:t>
            </w:r>
          </w:p>
        </w:tc>
        <w:tc>
          <w:tcPr>
            <w:tcW w:type="dxa" w:w="2600"/>
            <w:shd w:fill="B45309" w:val="clear"/>
            <w:vAlign w:val="center"/>
          </w:tcPr>
          <w:p>
            <w:pPr>
              <w:spacing w:after="0"/>
            </w:pPr>
            <w:r>
              <w:rPr>
                <w:b/>
                <w:bCs/>
                <w:color w:val="FFFFFF"/>
                <w:sz w:val="20"/>
                <w:szCs w:val="20"/>
              </w:rPr>
              <w:t xml:space="preserve">Cumulative Repaid (₹)</w:t>
            </w:r>
          </w:p>
        </w:tc>
      </w:tr>
      <w:tr>
        <w:trPr>
          <w:tblHeader w:val="false"/>
        </w:trPr>
        <w:tc>
          <w:tcPr>
            <w:tcW w:type="dxa" w:w="2000"/>
            <w:vAlign w:val="center"/>
          </w:tcPr>
          <w:p>
            <w:pPr>
              <w:spacing w:after="0"/>
            </w:pPr>
            <w:r>
              <w:rPr>
                <w:b w:val="false"/>
                <w:bCs w:val="false"/>
                <w:color w:val="1E293B"/>
                <w:sz w:val="20"/>
                <w:szCs w:val="20"/>
              </w:rPr>
              <w:t xml:space="preserve">April 2025</w:t>
            </w:r>
          </w:p>
        </w:tc>
        <w:tc>
          <w:tcPr>
            <w:tcW w:type="dxa" w:w="1800"/>
            <w:vAlign w:val="center"/>
          </w:tcPr>
          <w:p>
            <w:pPr>
              <w:spacing w:after="0"/>
            </w:pPr>
            <w:r>
              <w:rPr>
                <w:b w:val="false"/>
                <w:bCs w:val="false"/>
                <w:color w:val="1E293B"/>
                <w:sz w:val="20"/>
                <w:szCs w:val="20"/>
              </w:rPr>
              <w:t xml:space="preserve">8,00,000</w:t>
            </w:r>
          </w:p>
        </w:tc>
        <w:tc>
          <w:tcPr>
            <w:tcW w:type="dxa" w:w="1800"/>
            <w:vAlign w:val="center"/>
          </w:tcPr>
          <w:p>
            <w:pPr>
              <w:spacing w:after="0"/>
            </w:pPr>
            <w:r>
              <w:rPr>
                <w:b w:val="false"/>
                <w:bCs w:val="false"/>
                <w:color w:val="1E293B"/>
                <w:sz w:val="20"/>
                <w:szCs w:val="20"/>
              </w:rPr>
              <w:t xml:space="preserve">3,36,000</w:t>
            </w:r>
          </w:p>
        </w:tc>
        <w:tc>
          <w:tcPr>
            <w:tcW w:type="dxa" w:w="1800"/>
            <w:vAlign w:val="center"/>
          </w:tcPr>
          <w:p>
            <w:pPr>
              <w:spacing w:after="0"/>
            </w:pPr>
            <w:r>
              <w:rPr>
                <w:b w:val="false"/>
                <w:bCs w:val="false"/>
                <w:color w:val="1E293B"/>
                <w:sz w:val="20"/>
                <w:szCs w:val="20"/>
              </w:rPr>
              <w:t xml:space="preserve">11,36,000</w:t>
            </w:r>
          </w:p>
        </w:tc>
        <w:tc>
          <w:tcPr>
            <w:tcW w:type="dxa" w:w="2600"/>
            <w:vAlign w:val="center"/>
          </w:tcPr>
          <w:p>
            <w:pPr>
              <w:spacing w:after="0"/>
            </w:pPr>
            <w:r>
              <w:rPr>
                <w:b w:val="false"/>
                <w:bCs w:val="false"/>
                <w:color w:val="1E293B"/>
                <w:sz w:val="20"/>
                <w:szCs w:val="20"/>
              </w:rPr>
              <w:t xml:space="preserve">1,16,00,000</w:t>
            </w:r>
          </w:p>
        </w:tc>
      </w:tr>
      <w:tr>
        <w:trPr>
          <w:tblHeader w:val="false"/>
        </w:trPr>
        <w:tc>
          <w:tcPr>
            <w:tcW w:type="dxa" w:w="2000"/>
            <w:vAlign w:val="center"/>
          </w:tcPr>
          <w:p>
            <w:pPr>
              <w:spacing w:after="0"/>
            </w:pPr>
            <w:r>
              <w:rPr>
                <w:b w:val="false"/>
                <w:bCs w:val="false"/>
                <w:color w:val="1E293B"/>
                <w:sz w:val="20"/>
                <w:szCs w:val="20"/>
              </w:rPr>
              <w:t xml:space="preserve">May 2025</w:t>
            </w:r>
          </w:p>
        </w:tc>
        <w:tc>
          <w:tcPr>
            <w:tcW w:type="dxa" w:w="1800"/>
            <w:vAlign w:val="center"/>
          </w:tcPr>
          <w:p>
            <w:pPr>
              <w:spacing w:after="0"/>
            </w:pPr>
            <w:r>
              <w:rPr>
                <w:b w:val="false"/>
                <w:bCs w:val="false"/>
                <w:color w:val="1E293B"/>
                <w:sz w:val="20"/>
                <w:szCs w:val="20"/>
              </w:rPr>
              <w:t xml:space="preserve">8,00,000</w:t>
            </w:r>
          </w:p>
        </w:tc>
        <w:tc>
          <w:tcPr>
            <w:tcW w:type="dxa" w:w="1800"/>
            <w:vAlign w:val="center"/>
          </w:tcPr>
          <w:p>
            <w:pPr>
              <w:spacing w:after="0"/>
            </w:pPr>
            <w:r>
              <w:rPr>
                <w:b w:val="false"/>
                <w:bCs w:val="false"/>
                <w:color w:val="1E293B"/>
                <w:sz w:val="20"/>
                <w:szCs w:val="20"/>
              </w:rPr>
              <w:t xml:space="preserve">3,29,200</w:t>
            </w:r>
          </w:p>
        </w:tc>
        <w:tc>
          <w:tcPr>
            <w:tcW w:type="dxa" w:w="1800"/>
            <w:vAlign w:val="center"/>
          </w:tcPr>
          <w:p>
            <w:pPr>
              <w:spacing w:after="0"/>
            </w:pPr>
            <w:r>
              <w:rPr>
                <w:b w:val="false"/>
                <w:bCs w:val="false"/>
                <w:color w:val="1E293B"/>
                <w:sz w:val="20"/>
                <w:szCs w:val="20"/>
              </w:rPr>
              <w:t xml:space="preserve">11,29,200</w:t>
            </w:r>
          </w:p>
        </w:tc>
        <w:tc>
          <w:tcPr>
            <w:tcW w:type="dxa" w:w="2600"/>
            <w:vAlign w:val="center"/>
          </w:tcPr>
          <w:p>
            <w:pPr>
              <w:spacing w:after="0"/>
            </w:pPr>
            <w:r>
              <w:rPr>
                <w:b w:val="false"/>
                <w:bCs w:val="false"/>
                <w:color w:val="1E293B"/>
                <w:sz w:val="20"/>
                <w:szCs w:val="20"/>
              </w:rPr>
              <w:t xml:space="preserve">1,24,00,000</w:t>
            </w:r>
          </w:p>
        </w:tc>
      </w:tr>
      <w:tr>
        <w:trPr>
          <w:tblHeader w:val="false"/>
        </w:trPr>
        <w:tc>
          <w:tcPr>
            <w:tcW w:type="dxa" w:w="2000"/>
            <w:vAlign w:val="center"/>
          </w:tcPr>
          <w:p>
            <w:pPr>
              <w:spacing w:after="0"/>
            </w:pPr>
            <w:r>
              <w:rPr>
                <w:b w:val="false"/>
                <w:bCs w:val="false"/>
                <w:color w:val="1E293B"/>
                <w:sz w:val="20"/>
                <w:szCs w:val="20"/>
              </w:rPr>
              <w:t xml:space="preserve">June 2025</w:t>
            </w:r>
          </w:p>
        </w:tc>
        <w:tc>
          <w:tcPr>
            <w:tcW w:type="dxa" w:w="1800"/>
            <w:vAlign w:val="center"/>
          </w:tcPr>
          <w:p>
            <w:pPr>
              <w:spacing w:after="0"/>
            </w:pPr>
            <w:r>
              <w:rPr>
                <w:b w:val="false"/>
                <w:bCs w:val="false"/>
                <w:color w:val="1E293B"/>
                <w:sz w:val="20"/>
                <w:szCs w:val="20"/>
              </w:rPr>
              <w:t xml:space="preserve">8,00,000</w:t>
            </w:r>
          </w:p>
        </w:tc>
        <w:tc>
          <w:tcPr>
            <w:tcW w:type="dxa" w:w="1800"/>
            <w:vAlign w:val="center"/>
          </w:tcPr>
          <w:p>
            <w:pPr>
              <w:spacing w:after="0"/>
            </w:pPr>
            <w:r>
              <w:rPr>
                <w:b w:val="false"/>
                <w:bCs w:val="false"/>
                <w:color w:val="1E293B"/>
                <w:sz w:val="20"/>
                <w:szCs w:val="20"/>
              </w:rPr>
              <w:t xml:space="preserve">3,22,400</w:t>
            </w:r>
          </w:p>
        </w:tc>
        <w:tc>
          <w:tcPr>
            <w:tcW w:type="dxa" w:w="1800"/>
            <w:vAlign w:val="center"/>
          </w:tcPr>
          <w:p>
            <w:pPr>
              <w:spacing w:after="0"/>
            </w:pPr>
            <w:r>
              <w:rPr>
                <w:b w:val="false"/>
                <w:bCs w:val="false"/>
                <w:color w:val="1E293B"/>
                <w:sz w:val="20"/>
                <w:szCs w:val="20"/>
              </w:rPr>
              <w:t xml:space="preserve">11,22,400</w:t>
            </w:r>
          </w:p>
        </w:tc>
        <w:tc>
          <w:tcPr>
            <w:tcW w:type="dxa" w:w="2600"/>
            <w:vAlign w:val="center"/>
          </w:tcPr>
          <w:p>
            <w:pPr>
              <w:spacing w:after="0"/>
            </w:pPr>
            <w:r>
              <w:rPr>
                <w:b w:val="false"/>
                <w:bCs w:val="false"/>
                <w:color w:val="1E293B"/>
                <w:sz w:val="20"/>
                <w:szCs w:val="20"/>
              </w:rPr>
              <w:t xml:space="preserve">1,32,00,000</w:t>
            </w:r>
          </w:p>
        </w:tc>
      </w:tr>
      <w:tr>
        <w:trPr>
          <w:tblHeader w:val="false"/>
        </w:trPr>
        <w:tc>
          <w:tcPr>
            <w:tcW w:type="dxa" w:w="2000"/>
            <w:vAlign w:val="center"/>
          </w:tcPr>
          <w:p>
            <w:pPr>
              <w:spacing w:after="0"/>
            </w:pPr>
            <w:r>
              <w:rPr>
                <w:b w:val="false"/>
                <w:bCs w:val="false"/>
                <w:color w:val="1E293B"/>
                <w:sz w:val="20"/>
                <w:szCs w:val="20"/>
              </w:rPr>
              <w:t xml:space="preserve">July 2025</w:t>
            </w:r>
          </w:p>
        </w:tc>
        <w:tc>
          <w:tcPr>
            <w:tcW w:type="dxa" w:w="1800"/>
            <w:vAlign w:val="center"/>
          </w:tcPr>
          <w:p>
            <w:pPr>
              <w:spacing w:after="0"/>
            </w:pPr>
            <w:r>
              <w:rPr>
                <w:b w:val="false"/>
                <w:bCs w:val="false"/>
                <w:color w:val="1E293B"/>
                <w:sz w:val="20"/>
                <w:szCs w:val="20"/>
              </w:rPr>
              <w:t xml:space="preserve">8,00,000</w:t>
            </w:r>
          </w:p>
        </w:tc>
        <w:tc>
          <w:tcPr>
            <w:tcW w:type="dxa" w:w="1800"/>
            <w:vAlign w:val="center"/>
          </w:tcPr>
          <w:p>
            <w:pPr>
              <w:spacing w:after="0"/>
            </w:pPr>
            <w:r>
              <w:rPr>
                <w:b w:val="false"/>
                <w:bCs w:val="false"/>
                <w:color w:val="1E293B"/>
                <w:sz w:val="20"/>
                <w:szCs w:val="20"/>
              </w:rPr>
              <w:t xml:space="preserve">3,15,600</w:t>
            </w:r>
          </w:p>
        </w:tc>
        <w:tc>
          <w:tcPr>
            <w:tcW w:type="dxa" w:w="1800"/>
            <w:vAlign w:val="center"/>
          </w:tcPr>
          <w:p>
            <w:pPr>
              <w:spacing w:after="0"/>
            </w:pPr>
            <w:r>
              <w:rPr>
                <w:b w:val="false"/>
                <w:bCs w:val="false"/>
                <w:color w:val="1E293B"/>
                <w:sz w:val="20"/>
                <w:szCs w:val="20"/>
              </w:rPr>
              <w:t xml:space="preserve">11,15,600</w:t>
            </w:r>
          </w:p>
        </w:tc>
        <w:tc>
          <w:tcPr>
            <w:tcW w:type="dxa" w:w="2600"/>
            <w:vAlign w:val="center"/>
          </w:tcPr>
          <w:p>
            <w:pPr>
              <w:spacing w:after="0"/>
            </w:pPr>
            <w:r>
              <w:rPr>
                <w:b w:val="false"/>
                <w:bCs w:val="false"/>
                <w:color w:val="1E293B"/>
                <w:sz w:val="20"/>
                <w:szCs w:val="20"/>
              </w:rPr>
              <w:t xml:space="preserve">1,40,00,000</w:t>
            </w:r>
          </w:p>
        </w:tc>
      </w:tr>
      <w:tr>
        <w:trPr>
          <w:tblHeader w:val="false"/>
        </w:trPr>
        <w:tc>
          <w:tcPr>
            <w:tcW w:type="dxa" w:w="2000"/>
            <w:vAlign w:val="center"/>
          </w:tcPr>
          <w:p>
            <w:pPr>
              <w:spacing w:after="0"/>
            </w:pPr>
            <w:r>
              <w:rPr>
                <w:b w:val="false"/>
                <w:bCs w:val="false"/>
                <w:color w:val="1E293B"/>
                <w:sz w:val="20"/>
                <w:szCs w:val="20"/>
              </w:rPr>
              <w:t xml:space="preserve">Aug–Mar 2026</w:t>
            </w:r>
          </w:p>
        </w:tc>
        <w:tc>
          <w:tcPr>
            <w:tcW w:type="dxa" w:w="1800"/>
            <w:vAlign w:val="center"/>
          </w:tcPr>
          <w:p>
            <w:pPr>
              <w:spacing w:after="0"/>
            </w:pPr>
            <w:r>
              <w:rPr>
                <w:b w:val="false"/>
                <w:bCs w:val="false"/>
                <w:color w:val="1E293B"/>
                <w:sz w:val="20"/>
                <w:szCs w:val="20"/>
              </w:rPr>
              <w:t xml:space="preserve">64,00,000</w:t>
            </w:r>
          </w:p>
        </w:tc>
        <w:tc>
          <w:tcPr>
            <w:tcW w:type="dxa" w:w="1800"/>
            <w:vAlign w:val="center"/>
          </w:tcPr>
          <w:p>
            <w:pPr>
              <w:spacing w:after="0"/>
            </w:pPr>
            <w:r>
              <w:rPr>
                <w:b w:val="false"/>
                <w:bCs w:val="false"/>
                <w:color w:val="1E293B"/>
                <w:sz w:val="20"/>
                <w:szCs w:val="20"/>
              </w:rPr>
              <w:t xml:space="preserve">23,52,000</w:t>
            </w:r>
          </w:p>
        </w:tc>
        <w:tc>
          <w:tcPr>
            <w:tcW w:type="dxa" w:w="1800"/>
            <w:vAlign w:val="center"/>
          </w:tcPr>
          <w:p>
            <w:pPr>
              <w:spacing w:after="0"/>
            </w:pPr>
            <w:r>
              <w:rPr>
                <w:b w:val="false"/>
                <w:bCs w:val="false"/>
                <w:color w:val="1E293B"/>
                <w:sz w:val="20"/>
                <w:szCs w:val="20"/>
              </w:rPr>
              <w:t xml:space="preserve">87,52,000</w:t>
            </w:r>
          </w:p>
        </w:tc>
        <w:tc>
          <w:tcPr>
            <w:tcW w:type="dxa" w:w="2600"/>
            <w:vAlign w:val="center"/>
          </w:tcPr>
          <w:p>
            <w:pPr>
              <w:spacing w:after="0"/>
            </w:pPr>
            <w:r>
              <w:rPr>
                <w:b w:val="false"/>
                <w:bCs w:val="false"/>
                <w:color w:val="1E293B"/>
                <w:sz w:val="20"/>
                <w:szCs w:val="20"/>
              </w:rPr>
              <w:t xml:space="preserve">2,16,00,000</w:t>
            </w:r>
          </w:p>
        </w:tc>
      </w:tr>
      <w:tr>
        <w:trPr>
          <w:tblHeader w:val="false"/>
        </w:trPr>
        <w:tc>
          <w:tcPr>
            <w:tcW w:type="dxa" w:w="2000"/>
            <w:vAlign w:val="center"/>
          </w:tcPr>
          <w:p>
            <w:pPr>
              <w:spacing w:after="0"/>
            </w:pPr>
            <w:r>
              <w:rPr>
                <w:b w:val="false"/>
                <w:bCs w:val="false"/>
                <w:color w:val="1E293B"/>
                <w:sz w:val="20"/>
                <w:szCs w:val="20"/>
              </w:rPr>
              <w:t xml:space="preserve">FY2026-27 Total</w:t>
            </w:r>
          </w:p>
        </w:tc>
        <w:tc>
          <w:tcPr>
            <w:tcW w:type="dxa" w:w="1800"/>
            <w:vAlign w:val="center"/>
          </w:tcPr>
          <w:p>
            <w:pPr>
              <w:spacing w:after="0"/>
            </w:pPr>
            <w:r>
              <w:rPr>
                <w:b w:val="false"/>
                <w:bCs w:val="false"/>
                <w:color w:val="1E293B"/>
                <w:sz w:val="20"/>
                <w:szCs w:val="20"/>
              </w:rPr>
              <w:t xml:space="preserve">96,00,000</w:t>
            </w:r>
          </w:p>
        </w:tc>
        <w:tc>
          <w:tcPr>
            <w:tcW w:type="dxa" w:w="1800"/>
            <w:vAlign w:val="center"/>
          </w:tcPr>
          <w:p>
            <w:pPr>
              <w:spacing w:after="0"/>
            </w:pPr>
            <w:r>
              <w:rPr>
                <w:b w:val="false"/>
                <w:bCs w:val="false"/>
                <w:color w:val="1E293B"/>
                <w:sz w:val="20"/>
                <w:szCs w:val="20"/>
              </w:rPr>
              <w:t xml:space="preserve">20,16,000</w:t>
            </w:r>
          </w:p>
        </w:tc>
        <w:tc>
          <w:tcPr>
            <w:tcW w:type="dxa" w:w="1800"/>
            <w:vAlign w:val="center"/>
          </w:tcPr>
          <w:p>
            <w:pPr>
              <w:spacing w:after="0"/>
            </w:pPr>
            <w:r>
              <w:rPr>
                <w:b w:val="false"/>
                <w:bCs w:val="false"/>
                <w:color w:val="1E293B"/>
                <w:sz w:val="20"/>
                <w:szCs w:val="20"/>
              </w:rPr>
              <w:t xml:space="preserve">1,16,16,000</w:t>
            </w:r>
          </w:p>
        </w:tc>
        <w:tc>
          <w:tcPr>
            <w:tcW w:type="dxa" w:w="2600"/>
            <w:vAlign w:val="center"/>
          </w:tcPr>
          <w:p>
            <w:pPr>
              <w:spacing w:after="0"/>
            </w:pPr>
            <w:r>
              <w:rPr>
                <w:b w:val="false"/>
                <w:bCs w:val="false"/>
                <w:color w:val="1E293B"/>
                <w:sz w:val="20"/>
                <w:szCs w:val="20"/>
              </w:rPr>
              <w:t xml:space="preserve">3,12,00,000</w:t>
            </w:r>
          </w:p>
        </w:tc>
      </w:tr>
      <w:tr>
        <w:trPr>
          <w:tblHeader w:val="false"/>
        </w:trPr>
        <w:tc>
          <w:tcPr>
            <w:tcW w:type="dxa" w:w="2000"/>
            <w:vAlign w:val="center"/>
          </w:tcPr>
          <w:p>
            <w:pPr>
              <w:spacing w:after="0"/>
            </w:pPr>
            <w:r>
              <w:rPr>
                <w:b w:val="false"/>
                <w:bCs w:val="false"/>
                <w:color w:val="1E293B"/>
                <w:sz w:val="20"/>
                <w:szCs w:val="20"/>
              </w:rPr>
              <w:t xml:space="preserve">FY2027 Final</w:t>
            </w:r>
          </w:p>
        </w:tc>
        <w:tc>
          <w:tcPr>
            <w:tcW w:type="dxa" w:w="1800"/>
            <w:vAlign w:val="center"/>
          </w:tcPr>
          <w:p>
            <w:pPr>
              <w:spacing w:after="0"/>
            </w:pPr>
            <w:r>
              <w:rPr>
                <w:b w:val="false"/>
                <w:bCs w:val="false"/>
                <w:color w:val="1E293B"/>
                <w:sz w:val="20"/>
                <w:szCs w:val="20"/>
              </w:rPr>
              <w:t xml:space="preserve">72,00,000</w:t>
            </w:r>
          </w:p>
        </w:tc>
        <w:tc>
          <w:tcPr>
            <w:tcW w:type="dxa" w:w="1800"/>
            <w:vAlign w:val="center"/>
          </w:tcPr>
          <w:p>
            <w:pPr>
              <w:spacing w:after="0"/>
            </w:pPr>
            <w:r>
              <w:rPr>
                <w:b w:val="false"/>
                <w:bCs w:val="false"/>
                <w:color w:val="1E293B"/>
                <w:sz w:val="20"/>
                <w:szCs w:val="20"/>
              </w:rPr>
              <w:t xml:space="preserve">3,78,000</w:t>
            </w:r>
          </w:p>
        </w:tc>
        <w:tc>
          <w:tcPr>
            <w:tcW w:type="dxa" w:w="1800"/>
            <w:vAlign w:val="center"/>
          </w:tcPr>
          <w:p>
            <w:pPr>
              <w:spacing w:after="0"/>
            </w:pPr>
            <w:r>
              <w:rPr>
                <w:b w:val="false"/>
                <w:bCs w:val="false"/>
                <w:color w:val="1E293B"/>
                <w:sz w:val="20"/>
                <w:szCs w:val="20"/>
              </w:rPr>
              <w:t xml:space="preserve">75,78,000</w:t>
            </w:r>
          </w:p>
        </w:tc>
        <w:tc>
          <w:tcPr>
            <w:tcW w:type="dxa" w:w="2600"/>
            <w:vAlign w:val="center"/>
          </w:tcPr>
          <w:p>
            <w:pPr>
              <w:spacing w:after="0"/>
            </w:pPr>
            <w:r>
              <w:rPr>
                <w:b w:val="false"/>
                <w:bCs w:val="false"/>
                <w:color w:val="1E293B"/>
                <w:sz w:val="20"/>
                <w:szCs w:val="20"/>
              </w:rPr>
              <w:t xml:space="preserve">5,00,00,000</w:t>
            </w:r>
          </w:p>
        </w:tc>
      </w:tr>
    </w:tbl>
    <w:p>
      <w:pPr>
        <w:spacing w:after="100"/>
      </w:pPr>
      <w:r>
        <w:rPr>
          <w:sz w:val="22"/>
          <w:szCs w:val="22"/>
        </w:rPr>
        <w:t xml:space="preserve"/>
      </w:r>
    </w:p>
    <w:p>
      <w:pPr>
        <w:spacing w:before="120" w:after="120"/>
      </w:pPr>
      <w:r>
        <w:rPr>
          <w:color w:val="CBD5E1"/>
          <w:sz w:val="18"/>
          <w:szCs w:val="18"/>
        </w:rPr>
        <w:t xml:space="preserve">────────────────────────────────────────────────────────────────────────</w:t>
      </w:r>
    </w:p>
    <w:p>
      <w:pPr>
        <w:pStyle w:val="Heading2"/>
        <w:spacing w:before="200" w:after="100"/>
      </w:pPr>
      <w:r>
        <w:rPr>
          <w:b/>
          <w:bCs/>
          <w:color w:val="B45309"/>
          <w:sz w:val="26"/>
          <w:szCs w:val="26"/>
        </w:rPr>
        <w:t xml:space="preserve">6. Debt Strategy</w:t>
      </w:r>
    </w:p>
    <w:p>
      <w:pPr>
        <w:pStyle w:val="ListParagraph"/>
        <w:numPr>
          <w:ilvl w:val="0"/>
          <w:numId w:val="2"/>
        </w:numPr>
        <w:spacing w:after="60"/>
      </w:pPr>
      <w:r>
        <w:rPr>
          <w:sz w:val="22"/>
          <w:szCs w:val="22"/>
        </w:rPr>
        <w:t xml:space="preserve">Conservative leverage policy — maximum Debt/ARR of 0.25x approved by board</w:t>
      </w:r>
    </w:p>
    <w:p>
      <w:pPr>
        <w:pStyle w:val="ListParagraph"/>
        <w:numPr>
          <w:ilvl w:val="0"/>
          <w:numId w:val="2"/>
        </w:numPr>
        <w:spacing w:after="60"/>
      </w:pPr>
      <w:r>
        <w:rPr>
          <w:sz w:val="22"/>
          <w:szCs w:val="22"/>
        </w:rPr>
        <w:t xml:space="preserve">Series B fundraise (₹120 crore equity) expected to fully repay term loan and eliminate debt</w:t>
      </w:r>
    </w:p>
    <w:p>
      <w:pPr>
        <w:pStyle w:val="ListParagraph"/>
        <w:numPr>
          <w:ilvl w:val="0"/>
          <w:numId w:val="2"/>
        </w:numPr>
        <w:spacing w:after="60"/>
      </w:pPr>
      <w:r>
        <w:rPr>
          <w:sz w:val="22"/>
          <w:szCs w:val="22"/>
        </w:rPr>
        <w:t xml:space="preserve">Post-Series B: company plans to remain debt-free until revenue crosses ₹100 crore ARR</w:t>
      </w:r>
    </w:p>
    <w:p>
      <w:pPr>
        <w:pStyle w:val="ListParagraph"/>
        <w:numPr>
          <w:ilvl w:val="0"/>
          <w:numId w:val="2"/>
        </w:numPr>
        <w:spacing w:after="60"/>
      </w:pPr>
      <w:r>
        <w:rPr>
          <w:sz w:val="22"/>
          <w:szCs w:val="22"/>
        </w:rPr>
        <w:t xml:space="preserve">Revolving credit facility planned post-Series B for international expansion working capital</w:t>
      </w:r>
    </w:p>
    <w:p>
      <w:pPr>
        <w:pStyle w:val="ListParagraph"/>
        <w:numPr>
          <w:ilvl w:val="0"/>
          <w:numId w:val="2"/>
        </w:numPr>
        <w:spacing w:after="60"/>
      </w:pPr>
      <w:r>
        <w:rPr>
          <w:sz w:val="22"/>
          <w:szCs w:val="22"/>
        </w:rPr>
        <w:t xml:space="preserve">No plans for venture debt at current stage — equity funding sufficient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2026-03-08T15:02:02.761Z</dcterms:created>
  <dcterms:modified xsi:type="dcterms:W3CDTF">2026-03-08T15:02:02.763Z</dcterms:modified>
</cp:coreProperties>
</file>

<file path=docProps/custom.xml><?xml version="1.0" encoding="utf-8"?>
<Properties xmlns="http://schemas.openxmlformats.org/officeDocument/2006/custom-properties" xmlns:vt="http://schemas.openxmlformats.org/officeDocument/2006/docPropsVTypes"/>
</file>