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Lender Details &amp; Banking Relationship</w:t>
      </w:r>
    </w:p>
    <w:p>
      <w:pPr>
        <w:spacing w:after="100"/>
      </w:pPr>
      <w:r>
        <w:rPr>
          <w:sz w:val="22"/>
          <w:szCs w:val="22"/>
        </w:rPr>
        <w:t xml:space="preserve">Module: Loans | Slot: Lender | Banking &amp; Debt Relationship | March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1. Primary Lender — HDFC Bank Limited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Bank: </w:t>
      </w:r>
      <w:r>
        <w:rPr>
          <w:sz w:val="22"/>
          <w:szCs w:val="22"/>
        </w:rPr>
        <w:t xml:space="preserve">HDFC Bank Limited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Branch: </w:t>
      </w:r>
      <w:r>
        <w:rPr>
          <w:sz w:val="22"/>
          <w:szCs w:val="22"/>
        </w:rPr>
        <w:t xml:space="preserve">HDFC Bank — Koramangala Branch, Bengaluru — 560034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Branch IFSC: </w:t>
      </w:r>
      <w:r>
        <w:rPr>
          <w:sz w:val="22"/>
          <w:szCs w:val="22"/>
        </w:rPr>
        <w:t xml:space="preserve">HDFC0001234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Relationship Manager: </w:t>
      </w:r>
      <w:r>
        <w:rPr>
          <w:sz w:val="22"/>
          <w:szCs w:val="22"/>
        </w:rPr>
        <w:t xml:space="preserve">Mr. Harish Shetty — Corporate Banking — contact: h.shetty@hdfcbank.com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Relationship Since: </w:t>
      </w:r>
      <w:r>
        <w:rPr>
          <w:sz w:val="22"/>
          <w:szCs w:val="22"/>
        </w:rPr>
        <w:t xml:space="preserve">April 2019 — current account opened on incorporation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Credit Facilities: </w:t>
      </w:r>
      <w:r>
        <w:rPr>
          <w:sz w:val="22"/>
          <w:szCs w:val="22"/>
        </w:rPr>
        <w:t xml:space="preserve">Term Loan (₹5 crore) + OD (₹2 crore) + BG (₹50 lakhs) + Corporate Credit Cards (₹20 lakhs)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Banking Exposure: </w:t>
      </w:r>
      <w:r>
        <w:rPr>
          <w:sz w:val="22"/>
          <w:szCs w:val="22"/>
        </w:rPr>
        <w:t xml:space="preserve">₹7,70,00,000 (sanctioned) — ₹3,84,00,000 outstanding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Credit Rating (Internal): </w:t>
      </w:r>
      <w:r>
        <w:rPr>
          <w:sz w:val="22"/>
          <w:szCs w:val="22"/>
        </w:rPr>
        <w:t xml:space="preserve">BBB+ (HDFC Bank internal rating) — upgraded from BBB in FY2024 on improved financials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2. Term Loan Sanction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Loan Account No.: </w:t>
      </w:r>
      <w:r>
        <w:rPr>
          <w:sz w:val="22"/>
          <w:szCs w:val="22"/>
        </w:rPr>
        <w:t xml:space="preserve">HDFCTL00981234567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Sanction Date: </w:t>
      </w:r>
      <w:r>
        <w:rPr>
          <w:sz w:val="22"/>
          <w:szCs w:val="22"/>
        </w:rPr>
        <w:t xml:space="preserve">28 March 2022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Sanction Letter Reference: </w:t>
      </w:r>
      <w:r>
        <w:rPr>
          <w:sz w:val="22"/>
          <w:szCs w:val="22"/>
        </w:rPr>
        <w:t xml:space="preserve">HDFC/CORP/BLR/2022/TL/4521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Amount Sanctioned: </w:t>
      </w:r>
      <w:r>
        <w:rPr>
          <w:sz w:val="22"/>
          <w:szCs w:val="22"/>
        </w:rPr>
        <w:t xml:space="preserve">₹5,00,00,000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Amount Disbursed: </w:t>
      </w:r>
      <w:r>
        <w:rPr>
          <w:sz w:val="22"/>
          <w:szCs w:val="22"/>
        </w:rPr>
        <w:t xml:space="preserve">₹5,00,00,000 — single disbursement on 5 April 2022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Interest Rate: </w:t>
      </w:r>
      <w:r>
        <w:rPr>
          <w:sz w:val="22"/>
          <w:szCs w:val="22"/>
        </w:rPr>
        <w:t xml:space="preserve">10.50% per annum — floating (MCLR 1-year + 2.00% spread)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MCLR (1-year): </w:t>
      </w:r>
      <w:r>
        <w:rPr>
          <w:sz w:val="22"/>
          <w:szCs w:val="22"/>
        </w:rPr>
        <w:t xml:space="preserve">8.50% p.a. (as at March 2025) — total rate: 10.50%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EMI: </w:t>
      </w:r>
      <w:r>
        <w:rPr>
          <w:sz w:val="22"/>
          <w:szCs w:val="22"/>
        </w:rPr>
        <w:t xml:space="preserve">₹11,36,000 per month (reducing balance)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Repayment Tenure: </w:t>
      </w:r>
      <w:r>
        <w:rPr>
          <w:sz w:val="22"/>
          <w:szCs w:val="22"/>
        </w:rPr>
        <w:t xml:space="preserve">60 months — April 2022 to March 2027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Repayment Date: </w:t>
      </w:r>
      <w:r>
        <w:rPr>
          <w:sz w:val="22"/>
          <w:szCs w:val="22"/>
        </w:rPr>
        <w:t xml:space="preserve">5th of every month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Pre-payment Charges: </w:t>
      </w:r>
      <w:r>
        <w:rPr>
          <w:sz w:val="22"/>
          <w:szCs w:val="22"/>
        </w:rPr>
        <w:t xml:space="preserve">2% of prepaid amount if prepaid within first 24 months (expired); NIL thereafter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Processing Fee Paid: </w:t>
      </w:r>
      <w:r>
        <w:rPr>
          <w:sz w:val="22"/>
          <w:szCs w:val="22"/>
        </w:rPr>
        <w:t xml:space="preserve">₹62,500 (0.125% of loan amount) — paid at origination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3. Loan Covenants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Financial Covenants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Covenant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Debt-to-Equity Ratio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≤ 0.75x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0.11x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Compliant — significant headroom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1.50x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3.40x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Compliant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DSCR (Annual)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1.25x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4.80x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Compliant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Minimum Net Worth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₹15 crore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₹34.6 crore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Compliant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Outside Liabilities to TNW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≤ 2.0x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0.11x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Compliant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3.2 Operational Covenants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banking transactions (above ₹25 lakhs) to be routed through HDFC Bank — compliant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 written consent required for additional borrowings above ₹2 crore — complied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 consent for any merger, amalgamation, or change of management — complied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Audited financials to be submitted within 180 days of year-end — complied (Deloitte audit submitted October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Quarterly MIS submission — complied — submitted within 30 days of each quarter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4. Secondary Lender — ICICI Bank (Closed Account)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Facility: </w:t>
      </w:r>
      <w:r>
        <w:rPr>
          <w:sz w:val="22"/>
          <w:szCs w:val="22"/>
        </w:rPr>
        <w:t xml:space="preserve">Equipment Finance Loan — ₹1,20,00,000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Purchase of IT equipment and servers in FY2020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Tenure: </w:t>
      </w:r>
      <w:r>
        <w:rPr>
          <w:sz w:val="22"/>
          <w:szCs w:val="22"/>
        </w:rPr>
        <w:t xml:space="preserve">3 years — April 2020 to March 2023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Fully repaid March 2023 — No Dues Certificate obtained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NDC Reference: </w:t>
      </w:r>
      <w:r>
        <w:rPr>
          <w:sz w:val="22"/>
          <w:szCs w:val="22"/>
        </w:rPr>
        <w:t xml:space="preserve">ICICI/NDC/BLR/2023/EF/7821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Account Closed: </w:t>
      </w:r>
      <w:r>
        <w:rPr>
          <w:sz w:val="22"/>
          <w:szCs w:val="22"/>
        </w:rPr>
        <w:t xml:space="preserve">April 2023 — account formally closed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5. Banking Facilities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Utilised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Expiry / Renewal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Account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Permanent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Term Loan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5,00,00,000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3,84,00,000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10.50% p.a.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March 2027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Overdraft — Working Capital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Revolving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2,00,00,000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12.00% p.a.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— March 2026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Bank Guarantee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Contingent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1.5% p.a. comm.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— March 2026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Corporate Credit Cards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Revolving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4,20,000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 if paid monthly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Rolling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Forex Forward Contract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Hedge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USD 50,000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USD 50,000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Market rate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June 2025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6. Lender Communication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borrower audit by HDFC Bank — last conducted November 2024 — no adverse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&amp; book debt statement: Not applicable — unsecured / asset-backed loan (no stock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Insurance on hypothecated assets: Renewed annually — ICICI Lombard — all-risk cover ₹3 crore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 HDFC Bank credit review: Scheduled June 2025 — CFO preparing enhanced MIS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Series B impact on loan: HDFC Bank informed of Series B process — early prepayment expected post-closure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2026-03-08T15:02:02.870Z</dcterms:created>
  <dcterms:modified xsi:type="dcterms:W3CDTF">2026-03-08T15:02:02.870Z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