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b/>
          <w:bCs/>
          <w:color w:val="1A2755"/>
          <w:sz w:val="32"/>
          <w:szCs w:val="32"/>
        </w:rPr>
        <w:t xml:space="preserve">TechNova Solutions — Loan Repayment Schedule &amp; History</w:t>
      </w:r>
    </w:p>
    <w:p>
      <w:pPr>
        <w:spacing w:after="100"/>
      </w:pPr>
      <w:r>
        <w:rPr>
          <w:sz w:val="22"/>
          <w:szCs w:val="22"/>
        </w:rPr>
        <w:t xml:space="preserve">Module: Loans | Slot: Repayment | Term Loan Account: HDFCTL00981234567 | FY2022–FY2027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1. Repayment Summary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Original Principal: </w:t>
      </w:r>
      <w:r>
        <w:rPr>
          <w:sz w:val="22"/>
          <w:szCs w:val="22"/>
        </w:rPr>
        <w:t xml:space="preserve">₹5,00,00,000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Total Amount Repaid (to March 2025): </w:t>
      </w:r>
      <w:r>
        <w:rPr>
          <w:sz w:val="22"/>
          <w:szCs w:val="22"/>
        </w:rPr>
        <w:t xml:space="preserve">₹1,16,00,000 principal + ₹48,72,000 interest = ₹1,64,72,000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Outstanding Principal (31 Mar 2025): </w:t>
      </w:r>
      <w:r>
        <w:rPr>
          <w:sz w:val="22"/>
          <w:szCs w:val="22"/>
        </w:rPr>
        <w:t xml:space="preserve">₹3,84,00,000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Remaining Tenure: </w:t>
      </w:r>
      <w:r>
        <w:rPr>
          <w:sz w:val="22"/>
          <w:szCs w:val="22"/>
        </w:rPr>
        <w:t xml:space="preserve">24 months (April 2025 — March 2027)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Total Interest to be Paid (remaining): </w:t>
      </w:r>
      <w:r>
        <w:rPr>
          <w:sz w:val="22"/>
          <w:szCs w:val="22"/>
        </w:rPr>
        <w:t xml:space="preserve">₹54,24,000 (estimated at current rate)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Total Loan Cost (lifetime): </w:t>
      </w:r>
      <w:r>
        <w:rPr>
          <w:sz w:val="22"/>
          <w:szCs w:val="22"/>
        </w:rPr>
        <w:t xml:space="preserve">₹5,00,00,000 principal + ₹1,02,96,000 interest = ₹6,02,96,000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Defaults / Delays: </w:t>
      </w:r>
      <w:r>
        <w:rPr>
          <w:sz w:val="22"/>
          <w:szCs w:val="22"/>
        </w:rPr>
        <w:t xml:space="preserve">NIL — zero payment defaults in entire loan tenure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2. Annual Repayment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Financial Year</w:t>
            </w:r>
          </w:p>
        </w:tc>
        <w:tc>
          <w:tcPr>
            <w:tcW w:type="dxa" w:w="22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Opening Balance (₹)</w:t>
            </w:r>
          </w:p>
        </w:tc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Principal Paid (₹)</w:t>
            </w:r>
          </w:p>
        </w:tc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Interest Paid (₹)</w:t>
            </w:r>
          </w:p>
        </w:tc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Paid (₹)</w:t>
            </w:r>
          </w:p>
        </w:tc>
        <w:tc>
          <w:tcPr>
            <w:tcW w:type="dxa" w:w="2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Closing Balance (₹)</w:t>
            </w:r>
          </w:p>
        </w:tc>
      </w:tr>
      <w:tr>
        <w:trPr>
          <w:tblHeader w:val="false"/>
        </w:trP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FY2022-23 (12 months)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5,00,00,000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30,00,000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52,50,000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82,50,000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4,70,00,000</w:t>
            </w:r>
          </w:p>
        </w:tc>
      </w:tr>
      <w:tr>
        <w:trPr>
          <w:tblHeader w:val="false"/>
        </w:trP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FY2023-24 (12 months)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4,70,00,000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38,00,000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49,77,000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87,77,000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4,32,00,000</w:t>
            </w:r>
          </w:p>
        </w:tc>
      </w:tr>
      <w:tr>
        <w:trPr>
          <w:tblHeader w:val="false"/>
        </w:trP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FY2024-25 (12 months)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4,32,00,000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48,00,000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46,22,000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94,22,000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3,84,00,000</w:t>
            </w:r>
          </w:p>
        </w:tc>
      </w:tr>
      <w:tr>
        <w:trPr>
          <w:tblHeader w:val="false"/>
        </w:trP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FY2025-26 (projected)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3,84,00,000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96,00,000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36,96,000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1,32,96,000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2,88,00,000</w:t>
            </w:r>
          </w:p>
        </w:tc>
      </w:tr>
      <w:tr>
        <w:trPr>
          <w:tblHeader w:val="false"/>
        </w:trP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FY2026-27 (projected)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2,88,00,000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2,88,00,000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17,24,400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3,05,24,400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5,00,00,000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2,02,69,400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7,02,69,400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3. Monthly Repayment History — FY2024-25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 Due Date</w:t>
            </w:r>
          </w:p>
        </w:tc>
        <w:tc>
          <w:tcPr>
            <w:tcW w:type="dxa" w:w="1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Principal (₹)</w:t>
            </w:r>
          </w:p>
        </w:tc>
        <w:tc>
          <w:tcPr>
            <w:tcW w:type="dxa" w:w="1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Interest (₹)</w:t>
            </w:r>
          </w:p>
        </w:tc>
        <w:tc>
          <w:tcPr>
            <w:tcW w:type="dxa" w:w="1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 (₹)</w:t>
            </w:r>
          </w:p>
        </w:tc>
        <w:tc>
          <w:tcPr>
            <w:tcW w:type="dxa" w:w="1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 Paid</w:t>
            </w:r>
          </w:p>
        </w:tc>
        <w:tc>
          <w:tcPr>
            <w:tcW w:type="dxa" w:w="14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April 2024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 Apr 2024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3,78,000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7,78,000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 Apr 2024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 time</w:t>
            </w:r>
          </w:p>
        </w:tc>
      </w:tr>
      <w:tr>
        <w:trPr>
          <w:tblHeader w:val="false"/>
        </w:trP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May 2024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 May 2024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3,74,700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7,74,700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 May 2024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 time</w:t>
            </w:r>
          </w:p>
        </w:tc>
      </w:tr>
      <w:tr>
        <w:trPr>
          <w:tblHeader w:val="false"/>
        </w:trP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June 2024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 Jun 2024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3,71,400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7,71,400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 Jun 2024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 time</w:t>
            </w:r>
          </w:p>
        </w:tc>
      </w:tr>
      <w:tr>
        <w:trPr>
          <w:tblHeader w:val="false"/>
        </w:trP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July 2024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 Jul 2024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3,68,100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7,68,100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 Jul 2024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 time</w:t>
            </w:r>
          </w:p>
        </w:tc>
      </w:tr>
      <w:tr>
        <w:trPr>
          <w:tblHeader w:val="false"/>
        </w:trP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August 2024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 Aug 2024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3,64,800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7,64,800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 Aug 2024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 time</w:t>
            </w:r>
          </w:p>
        </w:tc>
      </w:tr>
      <w:tr>
        <w:trPr>
          <w:tblHeader w:val="false"/>
        </w:trP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September 2024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 Sep 2024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3,61,500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7,61,500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 Sep 2024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 time</w:t>
            </w:r>
          </w:p>
        </w:tc>
      </w:tr>
      <w:tr>
        <w:trPr>
          <w:tblHeader w:val="false"/>
        </w:trP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October 2024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 Oct 2024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3,58,200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7,58,200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 Oct 2024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 time</w:t>
            </w:r>
          </w:p>
        </w:tc>
      </w:tr>
      <w:tr>
        <w:trPr>
          <w:tblHeader w:val="false"/>
        </w:trP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November 2024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 Nov 2024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3,54,900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7,54,900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 Nov 2024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 time</w:t>
            </w:r>
          </w:p>
        </w:tc>
      </w:tr>
      <w:tr>
        <w:trPr>
          <w:tblHeader w:val="false"/>
        </w:trP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December 2024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 Dec 2024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3,51,600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7,51,600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 Dec 2024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 time</w:t>
            </w:r>
          </w:p>
        </w:tc>
      </w:tr>
      <w:tr>
        <w:trPr>
          <w:tblHeader w:val="false"/>
        </w:trP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January 2025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 Jan 2025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3,48,300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7,48,300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 Jan 2025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 time</w:t>
            </w:r>
          </w:p>
        </w:tc>
      </w:tr>
      <w:tr>
        <w:trPr>
          <w:tblHeader w:val="false"/>
        </w:trP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February 2025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 Feb 2025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3,45,000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7,45,000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 Feb 2025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 time</w:t>
            </w:r>
          </w:p>
        </w:tc>
      </w:tr>
      <w:tr>
        <w:trPr>
          <w:tblHeader w:val="false"/>
        </w:trP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March 2025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 Mar 2025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3,41,700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7,41,700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 Mar 2025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 time</w:t>
            </w:r>
          </w:p>
        </w:tc>
      </w:tr>
      <w:tr>
        <w:trPr>
          <w:tblHeader w:val="false"/>
        </w:trP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FY2024-25 Total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48,00,000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43,18,200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91,18,200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100% on time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4. Forward Repayment Schedule — FY2025-26 &amp; FY2026-27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2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Opening Balance (₹)</w:t>
            </w:r>
          </w:p>
        </w:tc>
        <w:tc>
          <w:tcPr>
            <w:tcW w:type="dxa" w:w="1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 (₹)</w:t>
            </w:r>
          </w:p>
        </w:tc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Principal (₹)</w:t>
            </w:r>
          </w:p>
        </w:tc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Interest (₹)</w:t>
            </w:r>
          </w:p>
        </w:tc>
        <w:tc>
          <w:tcPr>
            <w:tcW w:type="dxa" w:w="22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Closing Balance (₹)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Apr 2025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3,84,00,000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11,36,000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3,36,000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3,76,00,000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May 2025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3,76,00,000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11,29,200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3,29,200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3,68,00,000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Jun 2025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3,68,00,000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11,22,400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3,22,400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3,60,00,000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Jul 2025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3,60,00,000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11,15,600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3,15,600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3,52,00,000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Aug 2025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3,52,00,000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11,08,800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3,08,800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3,44,00,000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Sep 2025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3,44,00,000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11,02,000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3,02,000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3,36,00,000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Oct 2025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3,36,00,000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10,95,200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2,95,200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3,28,00,000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Nov 2025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3,28,00,000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10,88,400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2,88,400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3,20,00,000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Dec 2025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3,20,00,000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10,81,600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2,81,600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3,12,00,000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Jan 2026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3,12,00,000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10,74,800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2,74,800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3,04,00,000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Feb 2026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3,04,00,000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10,68,000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2,68,000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2,96,00,000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Mar 2026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2,96,00,000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10,61,200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2,61,200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2,88,00,000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Note: EMI will increase to ₹12,60,000/month from April 2026 as principal component steps up in final year. Full loan closure expected March 2027 or earlier if Series B prepayment executed.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5. Early Prepayment Analysis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Pre-payment Charge: </w:t>
      </w:r>
      <w:r>
        <w:rPr>
          <w:sz w:val="22"/>
          <w:szCs w:val="22"/>
        </w:rPr>
        <w:t xml:space="preserve">NIL — lock-in period expired (24 months from April 2022 = March 2024)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Outstanding as at April 2025: </w:t>
      </w:r>
      <w:r>
        <w:rPr>
          <w:sz w:val="22"/>
          <w:szCs w:val="22"/>
        </w:rPr>
        <w:t xml:space="preserve">₹3,84,00,000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Interest Saving (if prepaid April 2025): </w:t>
      </w:r>
      <w:r>
        <w:rPr>
          <w:sz w:val="22"/>
          <w:szCs w:val="22"/>
        </w:rPr>
        <w:t xml:space="preserve">₹54,24,000 interest saved over remaining 24 months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Series B Prepayment Plan: </w:t>
      </w:r>
      <w:r>
        <w:rPr>
          <w:sz w:val="22"/>
          <w:szCs w:val="22"/>
        </w:rPr>
        <w:t xml:space="preserve">Full prepayment of ₹3,84,00,000 planned upon Series B close (expected September 2025)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Net Benefit of Prepayment: </w:t>
      </w:r>
      <w:r>
        <w:rPr>
          <w:sz w:val="22"/>
          <w:szCs w:val="22"/>
        </w:rPr>
        <w:t xml:space="preserve">₹54,24,000 interest saving + simplified balance sheet for IPO readiness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HDFC Bank Acknowledgement: </w:t>
      </w:r>
      <w:r>
        <w:rPr>
          <w:sz w:val="22"/>
          <w:szCs w:val="22"/>
        </w:rPr>
        <w:t xml:space="preserve">HDFC Bank informed of prepayment intent — NOC process to be initiated upon Series B close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2026-03-08T15:02:02.969Z</dcterms:created>
  <dcterms:modified xsi:type="dcterms:W3CDTF">2026-03-08T15:02:02.969Z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