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Collateral &amp; Security Details</w:t>
      </w:r>
    </w:p>
    <w:p>
      <w:pPr>
        <w:spacing w:after="100"/>
      </w:pPr>
      <w:r>
        <w:rPr>
          <w:sz w:val="22"/>
          <w:szCs w:val="22"/>
        </w:rPr>
        <w:t xml:space="preserve">Module: Loans | Slot: Collateral | Term Loan Security Documentation | March 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1. Security Overview</w:t>
      </w:r>
    </w:p>
    <w:p>
      <w:pPr>
        <w:spacing w:after="100"/>
      </w:pPr>
      <w:r>
        <w:rPr>
          <w:sz w:val="22"/>
          <w:szCs w:val="22"/>
        </w:rPr>
        <w:t xml:space="preserve">TechNova's term loan with HDFC Bank is secured by a first and exclusive charge over the specific assets purchased from the loan proceeds, along with a personal guarantee from the founders. No immovable property is mortgaged. The working capital OD facility is clean (unsecured).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Type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Value (₹)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Charge Type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Registration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Term Loan — ₹5 crore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Hypothecation of IT assets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4,20,00,000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First &amp; exclusive charge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CERSAI — registered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Term Loan — ₹5 crore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Personal guarantees (3 founders)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Guarantee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Registered with HDFC Bank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Working Capital OD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Clean facility — no security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Unsecured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Bank Guarantee facility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Fixed deposit — 100% cash margin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Lien marked on FD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Bank internal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2. Hypothecated Assets — Details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Nature of Charge: </w:t>
      </w:r>
      <w:r>
        <w:rPr>
          <w:sz w:val="22"/>
          <w:szCs w:val="22"/>
        </w:rPr>
        <w:t xml:space="preserve">Hypothecation — first and exclusive charge — no physical transfer of possession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Charge Registration: </w:t>
      </w:r>
      <w:r>
        <w:rPr>
          <w:sz w:val="22"/>
          <w:szCs w:val="22"/>
        </w:rPr>
        <w:t xml:space="preserve">CERSAI (Central Registry of Securitisation Asset Reconstruction and Security Interest) — Charge ID: CERSAI/2022/HYP/987654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 of Charge Creation: </w:t>
      </w:r>
      <w:r>
        <w:rPr>
          <w:sz w:val="22"/>
          <w:szCs w:val="22"/>
        </w:rPr>
        <w:t xml:space="preserve">5 April 2022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Charge Holder: </w:t>
      </w:r>
      <w:r>
        <w:rPr>
          <w:sz w:val="22"/>
          <w:szCs w:val="22"/>
        </w:rPr>
        <w:t xml:space="preserve">HDFC Bank Limited — Koramangala Branch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2.1 Hypothecated Asset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Purchase Date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Purchase Value (₹)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Book Value (₹)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Insured Value (₹)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Dell PowerEdge R750 (×6)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Enterprise servers — Bengaluru HQ data room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 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28,80,000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Dell PowerEdge R750 (×6)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Enterprise servers — Chennai backup site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May 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28,80,000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48,00,000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Cisco Catalyst 9300 switches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48-port managed switches (×4)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 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18,40,000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12,88,000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18,40,000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Fortinet FortiGate 200F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Next-gen firewall — HQ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 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8,40,000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12,00,000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AWS Reserved Instances (3-yr)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Compute + storage reserved capacity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 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2,84,00,000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94,67,000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 — cloud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Office Fit-out — HQ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Modular workstations, meeting rooms, server room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May 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62,00,000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49,60,000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62,00,000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UPS — APC 60KVA (×2)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Uninterruptible power supply — HQ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Apr 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18,40,000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12,88,000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18,40,000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CCTV &amp; Security System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Hikvision 48-camera system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May 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9,20,000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6,44,000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9,20,000</w:t>
            </w:r>
          </w:p>
        </w:tc>
      </w:tr>
      <w:tr>
        <w:trPr>
          <w:tblHeader w:val="false"/>
        </w:trP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5,00,00,000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2,42,47,000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2,16,00,000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3. Personal Guarantees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Guarantor 1: </w:t>
      </w:r>
      <w:r>
        <w:rPr>
          <w:sz w:val="22"/>
          <w:szCs w:val="22"/>
        </w:rPr>
        <w:t xml:space="preserve">Arjun Mehta — Managing Director &amp; CEO — PAN: ABCPM1234A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Guarantor 2: </w:t>
      </w:r>
      <w:r>
        <w:rPr>
          <w:sz w:val="22"/>
          <w:szCs w:val="22"/>
        </w:rPr>
        <w:t xml:space="preserve">Priya Sharma — Whole-Time Director &amp; CTO — PAN: ABCPS5678B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Guarantor 3: </w:t>
      </w:r>
      <w:r>
        <w:rPr>
          <w:sz w:val="22"/>
          <w:szCs w:val="22"/>
        </w:rPr>
        <w:t xml:space="preserve">Vikram Nair — Whole-Time Director &amp; CFO — PAN: ABCVN9012C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Nature of Guarantee: </w:t>
      </w:r>
      <w:r>
        <w:rPr>
          <w:sz w:val="22"/>
          <w:szCs w:val="22"/>
        </w:rPr>
        <w:t xml:space="preserve">Joint and several personal guarantees — unlimited in amount up to total loan outstanding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Guarantee Date: </w:t>
      </w:r>
      <w:r>
        <w:rPr>
          <w:sz w:val="22"/>
          <w:szCs w:val="22"/>
        </w:rPr>
        <w:t xml:space="preserve">5 April 2022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Guarantee Registration: </w:t>
      </w:r>
      <w:r>
        <w:rPr>
          <w:sz w:val="22"/>
          <w:szCs w:val="22"/>
        </w:rPr>
        <w:t xml:space="preserve">Registered with HDFC Bank — Guarantee Agreement executed on stamp paper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Release of Guarantee: </w:t>
      </w:r>
      <w:r>
        <w:rPr>
          <w:sz w:val="22"/>
          <w:szCs w:val="22"/>
        </w:rPr>
        <w:t xml:space="preserve">Guarantees will be released upon full repayment of loan — expected March 2027 or earlier on prepayment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4. Insurance on Hypothecated Assets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Insurer: </w:t>
      </w:r>
      <w:r>
        <w:rPr>
          <w:sz w:val="22"/>
          <w:szCs w:val="22"/>
        </w:rPr>
        <w:t xml:space="preserve">ICICI Lombard General Insurance Co. Ltd.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Policy No.: </w:t>
      </w:r>
      <w:r>
        <w:rPr>
          <w:sz w:val="22"/>
          <w:szCs w:val="22"/>
        </w:rPr>
        <w:t xml:space="preserve">3001/287654321/00/000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Policy Type: </w:t>
      </w:r>
      <w:r>
        <w:rPr>
          <w:sz w:val="22"/>
          <w:szCs w:val="22"/>
        </w:rPr>
        <w:t xml:space="preserve">Electronic Equipment All-Risk Insurance (Floater Policy)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 Insured: </w:t>
      </w:r>
      <w:r>
        <w:rPr>
          <w:sz w:val="22"/>
          <w:szCs w:val="22"/>
        </w:rPr>
        <w:t xml:space="preserve">₹3,00,00,000 (hardware assets — cloud assets not insurable)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Covered Perils: </w:t>
      </w:r>
      <w:r>
        <w:rPr>
          <w:sz w:val="22"/>
          <w:szCs w:val="22"/>
        </w:rPr>
        <w:t xml:space="preserve">Fire, lightning, explosion, flood, earthquake, theft, accidental damage, power surge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Policy Period: </w:t>
      </w:r>
      <w:r>
        <w:rPr>
          <w:sz w:val="22"/>
          <w:szCs w:val="22"/>
        </w:rPr>
        <w:t xml:space="preserve">1 April 2024 to 31 March 2025 — renewal in progress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HDFC Bank Endorsement: </w:t>
      </w:r>
      <w:r>
        <w:rPr>
          <w:sz w:val="22"/>
          <w:szCs w:val="22"/>
        </w:rPr>
        <w:t xml:space="preserve">HDFC Bank noted as loss payee on the policy — confirmed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Last Claim: </w:t>
      </w:r>
      <w:r>
        <w:rPr>
          <w:sz w:val="22"/>
          <w:szCs w:val="22"/>
        </w:rPr>
        <w:t xml:space="preserve">NIL — no insurance claims in loan tenure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5. Fixed Deposit — Bank Guarantee Margin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FD Amount: </w:t>
      </w:r>
      <w:r>
        <w:rPr>
          <w:sz w:val="22"/>
          <w:szCs w:val="22"/>
        </w:rPr>
        <w:t xml:space="preserve">₹50,00,000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FD Number: </w:t>
      </w:r>
      <w:r>
        <w:rPr>
          <w:sz w:val="22"/>
          <w:szCs w:val="22"/>
        </w:rPr>
        <w:t xml:space="preserve">HDFC FD No. 50200087654321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Lien Marked: </w:t>
      </w:r>
      <w:r>
        <w:rPr>
          <w:sz w:val="22"/>
          <w:szCs w:val="22"/>
        </w:rPr>
        <w:t xml:space="preserve">Yes — lien marked in favour of HDFC Bank for BG facility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Interest Rate on FD: </w:t>
      </w:r>
      <w:r>
        <w:rPr>
          <w:sz w:val="22"/>
          <w:szCs w:val="22"/>
        </w:rPr>
        <w:t xml:space="preserve">7.25% p.a.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FD Maturity: </w:t>
      </w:r>
      <w:r>
        <w:rPr>
          <w:sz w:val="22"/>
          <w:szCs w:val="22"/>
        </w:rPr>
        <w:t xml:space="preserve">Annual — auto-renewed — current maturity: March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Interest Earned FY2024-25: </w:t>
      </w:r>
      <w:r>
        <w:rPr>
          <w:sz w:val="22"/>
          <w:szCs w:val="22"/>
        </w:rPr>
        <w:t xml:space="preserve">₹3,62,500 — credited to current account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6. Collateral Adequacy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Loan Outstanding: </w:t>
      </w:r>
      <w:r>
        <w:rPr>
          <w:sz w:val="22"/>
          <w:szCs w:val="22"/>
        </w:rPr>
        <w:t xml:space="preserve">₹3,84,00,000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Hypothecated Asset Book Value: </w:t>
      </w:r>
      <w:r>
        <w:rPr>
          <w:sz w:val="22"/>
          <w:szCs w:val="22"/>
        </w:rPr>
        <w:t xml:space="preserve">₹2,42,47,000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Personal Guarantee Coverage: </w:t>
      </w:r>
      <w:r>
        <w:rPr>
          <w:sz w:val="22"/>
          <w:szCs w:val="22"/>
        </w:rPr>
        <w:t xml:space="preserve">₹3,84,00,000 (joint and several — unlimited)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Coverage Assessment: </w:t>
      </w:r>
      <w:r>
        <w:rPr>
          <w:sz w:val="22"/>
          <w:szCs w:val="22"/>
        </w:rPr>
        <w:t xml:space="preserve">Adequate — personal guarantees of three promoters with combined net worth significantly exceeding loan outstanding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HDFC Bank Assessment: </w:t>
      </w:r>
      <w:r>
        <w:rPr>
          <w:sz w:val="22"/>
          <w:szCs w:val="22"/>
        </w:rPr>
        <w:t xml:space="preserve">Last credit review November 2024 — collateral rated adequate — no top-up required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2026-03-08T15:02:03.063Z</dcterms:created>
  <dcterms:modified xsi:type="dcterms:W3CDTF">2026-03-08T15:02:03.063Z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