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Credit &amp; Loan History</w:t>
      </w:r>
    </w:p>
    <w:p>
      <w:pPr>
        <w:spacing w:after="100"/>
      </w:pPr>
      <w:r>
        <w:rPr>
          <w:sz w:val="22"/>
          <w:szCs w:val="22"/>
        </w:rPr>
        <w:t xml:space="preserve">Module: Loans | Slot: History | Complete Borrowing History | FY2019–FY2025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1. Complete Loan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Loan</w:t>
            </w:r>
          </w:p>
        </w:tc>
        <w:tc>
          <w:tcPr>
            <w:tcW w:type="dxa" w:w="1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Lender</w:t>
            </w:r>
          </w:p>
        </w:tc>
        <w:tc>
          <w:tcPr>
            <w:tcW w:type="dxa" w:w="1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(₹)</w:t>
            </w:r>
          </w:p>
        </w:tc>
        <w:tc>
          <w:tcPr>
            <w:tcW w:type="dxa" w:w="2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Tenure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Equipment Finance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ICICI Bank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FY2020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1,20,00,000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IT equipment — initial setup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 years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Closed Mar 2023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NIL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Term Loan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HDFC Bank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FY2022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5,00,00,000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Infrastructure expansion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 years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Active — repaying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NIL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Working Capital OD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HDFC Bank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FY2020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2,00,00,000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Buffer — working capital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Active — unused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Bank Guarantee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HDFC Bank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FY2021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50,00,000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Vendor contracts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Active — no BG issued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2. Credit Bureau Report Summary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Bureau: </w:t>
      </w:r>
      <w:r>
        <w:rPr>
          <w:sz w:val="22"/>
          <w:szCs w:val="22"/>
        </w:rPr>
        <w:t xml:space="preserve">CIBIL (TransUnion CIBIL) — Corporate Credit Report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CIBIL Rank: </w:t>
      </w:r>
      <w:r>
        <w:rPr>
          <w:sz w:val="22"/>
          <w:szCs w:val="22"/>
        </w:rPr>
        <w:t xml:space="preserve">1 (Highest — scale of 1 to 10, where 1 is best)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Report Date: </w:t>
      </w:r>
      <w:r>
        <w:rPr>
          <w:sz w:val="22"/>
          <w:szCs w:val="22"/>
        </w:rPr>
        <w:t xml:space="preserve">February 2025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Total Active Loans: </w:t>
      </w:r>
      <w:r>
        <w:rPr>
          <w:sz w:val="22"/>
          <w:szCs w:val="22"/>
        </w:rPr>
        <w:t xml:space="preserve">1 (HDFC Bank term loan)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Total Sanctioned Credit: </w:t>
      </w:r>
      <w:r>
        <w:rPr>
          <w:sz w:val="22"/>
          <w:szCs w:val="22"/>
        </w:rPr>
        <w:t xml:space="preserve">₹7,70,00,000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Total Outstanding: </w:t>
      </w:r>
      <w:r>
        <w:rPr>
          <w:sz w:val="22"/>
          <w:szCs w:val="22"/>
        </w:rPr>
        <w:t xml:space="preserve">₹3,84,00,000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Overdue Amount: </w:t>
      </w:r>
      <w:r>
        <w:rPr>
          <w:sz w:val="22"/>
          <w:szCs w:val="22"/>
        </w:rPr>
        <w:t xml:space="preserve">NIL — zero overdue at any point in credit history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Days Past Due (DPD): </w:t>
      </w:r>
      <w:r>
        <w:rPr>
          <w:sz w:val="22"/>
          <w:szCs w:val="22"/>
        </w:rPr>
        <w:t xml:space="preserve">0 DPD — never delayed a single payment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Written Off Accounts: </w:t>
      </w:r>
      <w:r>
        <w:rPr>
          <w:sz w:val="22"/>
          <w:szCs w:val="22"/>
        </w:rPr>
        <w:t xml:space="preserve">NIL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Suit Filed: </w:t>
      </w:r>
      <w:r>
        <w:rPr>
          <w:sz w:val="22"/>
          <w:szCs w:val="22"/>
        </w:rPr>
        <w:t xml:space="preserve">NIL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2.1 CIBIL Trade Lines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4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Lender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Account Type</w:t>
            </w:r>
          </w:p>
        </w:tc>
        <w:tc>
          <w:tcPr>
            <w:tcW w:type="dxa" w:w="1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Sanctioned (₹)</w:t>
            </w:r>
          </w:p>
        </w:tc>
        <w:tc>
          <w:tcPr>
            <w:tcW w:type="dxa" w:w="20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Balance (₹)</w:t>
            </w:r>
          </w:p>
        </w:tc>
        <w:tc>
          <w:tcPr>
            <w:tcW w:type="dxa" w:w="8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DPD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HDFCTL00981234567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HDFC Bank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Term Loan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5,00,00,000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3,84,00,000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Standard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HDFC OD Account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HDFC Bank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Cash Credit / OD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2,00,00,000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Standard</w:t>
            </w:r>
          </w:p>
        </w:tc>
      </w:tr>
      <w:tr>
        <w:trPr>
          <w:tblHeader w:val="false"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ICICIEQF20200045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ICICI Bank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Equipment Finance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1,20,00,000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000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Closed — no default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3. Director Credit History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3.1 Arjun Mehta (CEO) — Personal Credit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CIBIL Score: </w:t>
      </w:r>
      <w:r>
        <w:rPr>
          <w:sz w:val="22"/>
          <w:szCs w:val="22"/>
        </w:rPr>
        <w:t xml:space="preserve">786 (out of 900 — Excellent)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Active Loans: </w:t>
      </w:r>
      <w:r>
        <w:rPr>
          <w:sz w:val="22"/>
          <w:szCs w:val="22"/>
        </w:rPr>
        <w:t xml:space="preserve">Home loan (HDFC Bank — ₹80 lakhs outstanding); Car loan (fully repaid 2022)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Payment History: </w:t>
      </w:r>
      <w:r>
        <w:rPr>
          <w:sz w:val="22"/>
          <w:szCs w:val="22"/>
        </w:rPr>
        <w:t xml:space="preserve">100% on-time payments — zero DPD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Credit Cards: </w:t>
      </w:r>
      <w:r>
        <w:rPr>
          <w:sz w:val="22"/>
          <w:szCs w:val="22"/>
        </w:rPr>
        <w:t xml:space="preserve">2 cards (HDFC Infinia + Amex Platinum) — no outstanding balance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3.2 Priya Sharma (CTO) — Personal Credit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CIBIL Score: </w:t>
      </w:r>
      <w:r>
        <w:rPr>
          <w:sz w:val="22"/>
          <w:szCs w:val="22"/>
        </w:rPr>
        <w:t xml:space="preserve">792 (Excellent)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Active Loans: </w:t>
      </w:r>
      <w:r>
        <w:rPr>
          <w:sz w:val="22"/>
          <w:szCs w:val="22"/>
        </w:rPr>
        <w:t xml:space="preserve">Home loan (Axis Bank — ₹62 lakhs outstanding)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Payment History: </w:t>
      </w:r>
      <w:r>
        <w:rPr>
          <w:sz w:val="22"/>
          <w:szCs w:val="22"/>
        </w:rPr>
        <w:t xml:space="preserve">100% on-time — zero DPD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3.3 Vikram Nair (CFO) — Personal Credit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CIBIL Score: </w:t>
      </w:r>
      <w:r>
        <w:rPr>
          <w:sz w:val="22"/>
          <w:szCs w:val="22"/>
        </w:rPr>
        <w:t xml:space="preserve">814 (Excellent)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Active Loans: </w:t>
      </w:r>
      <w:r>
        <w:rPr>
          <w:sz w:val="22"/>
          <w:szCs w:val="22"/>
        </w:rPr>
        <w:t xml:space="preserve">NIL — no active personal loans; home purchased with own funds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Payment History: </w:t>
      </w:r>
      <w:r>
        <w:rPr>
          <w:sz w:val="22"/>
          <w:szCs w:val="22"/>
        </w:rPr>
        <w:t xml:space="preserve">100% on-time across historical loans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4. Rejected / Declined Credit Applications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History: </w:t>
      </w:r>
      <w:r>
        <w:rPr>
          <w:sz w:val="22"/>
          <w:szCs w:val="22"/>
        </w:rPr>
        <w:t xml:space="preserve">NIL — TechNova has never had a credit application declined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Withdrawn Applications: </w:t>
      </w:r>
      <w:r>
        <w:rPr>
          <w:sz w:val="22"/>
          <w:szCs w:val="22"/>
        </w:rPr>
        <w:t xml:space="preserve">One application withdrawn in FY2021 — ₹3 crore term loan from Kotak Mahindra Bank. Withdrawn by TechNova (not declined) after deciding to proceed with HDFC Bank for a larger facility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5. Investor Debt Covenants — Compliance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Covenant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FY2022-23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FY2023-24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FY2024-25</w:t>
            </w:r>
          </w:p>
        </w:tc>
        <w:tc>
          <w:tcPr>
            <w:tcW w:type="dxa" w:w="1600"/>
            <w:shd w:fill="B45309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Debt / Equity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0.41x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0.22x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0.11x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≤ 0.5x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Current Ratio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2.1x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2.8x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3.4x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≥ 1.5x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DSCR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2.2x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3.6x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4.8x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≥ 1.25x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Net Worth ≥ ₹15 Cr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₹18.4 Cr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₹24.8 Cr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₹34.6 Cr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≥ ₹15 Cr</w:t>
            </w:r>
          </w:p>
        </w:tc>
      </w:tr>
      <w:tr>
        <w:trPr>
          <w:tblHeader w:val="false"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Overdue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NIL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NIL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NIL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NIL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Covenant Compliance: </w:t>
      </w:r>
      <w:r>
        <w:rPr>
          <w:sz w:val="22"/>
          <w:szCs w:val="22"/>
        </w:rPr>
        <w:t xml:space="preserve">100% compliant across all three years — no waiver requests required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B45309"/>
          <w:sz w:val="26"/>
          <w:szCs w:val="26"/>
        </w:rPr>
        <w:t xml:space="preserve">6. Debt Restructuring History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Debt Restructuring: </w:t>
      </w:r>
      <w:r>
        <w:rPr>
          <w:sz w:val="22"/>
          <w:szCs w:val="22"/>
        </w:rPr>
        <w:t xml:space="preserve">NIL — TechNova has never requested debt restructuring, moratorium, or rescheduling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COVID-19 Moratorium: </w:t>
      </w:r>
      <w:r>
        <w:rPr>
          <w:sz w:val="22"/>
          <w:szCs w:val="22"/>
        </w:rPr>
        <w:t xml:space="preserve">Not availed — company was cash-flow positive and elected to continue repayments during March–August 2020 moratorium period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NPA Classification: </w:t>
      </w:r>
      <w:r>
        <w:rPr>
          <w:sz w:val="22"/>
          <w:szCs w:val="22"/>
        </w:rPr>
        <w:t xml:space="preserve">Never classified as NPA or SMA (Special Mention Account) — clean credit record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2026-03-08T15:02:03.139Z</dcterms:created>
  <dcterms:modified xsi:type="dcterms:W3CDTF">2026-03-08T15:02:03.140Z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