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Financial Impact of Loans</w:t>
      </w:r>
    </w:p>
    <w:p>
      <w:pPr>
        <w:spacing w:after="100"/>
      </w:pPr>
      <w:r>
        <w:rPr>
          <w:sz w:val="22"/>
          <w:szCs w:val="22"/>
        </w:rPr>
        <w:t xml:space="preserve">Module: Loans | Slot: Impact | FY2024-25 P&amp;L and Balance Sheet Analysis | CFO Office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1. Impact on Profit &amp; Loss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FY2022-23 (₹)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FY2023-24 (₹)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FY2024-25 (₹)</w:t>
            </w:r>
          </w:p>
        </w:tc>
        <w:tc>
          <w:tcPr>
            <w:tcW w:type="dxa" w:w="2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Interest Expense — Term Loan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52,50,000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49,77,000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43,18,200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↓ Declining (reducing balance)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Processing Fee Amortised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12,500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12,500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12,500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→ Constant (5-year amortisation)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Finance Costs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52,62,500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49,89,500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43,30,700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↓ Declining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EBITDA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2,84,00,000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4,62,00,000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6,33,00,000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↑ Strong growth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Interest Coverage (EBITDA/Int.)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5.4x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9.3x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14.6x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↑ Improving significantly</w:t>
            </w:r>
          </w:p>
        </w:tc>
      </w:tr>
      <w:tr>
        <w:trPr>
          <w:tblHeader w:val="false"/>
        </w:trP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Finance Cost as % of Revenue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0.64%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0.25%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0.11%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↓ Negligible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2. Impact on Balance Sheet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Balance Sheet Item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31 Mar 2023 (₹)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31 Mar 2024 (₹)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31 Mar 2025 (₹)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Long-term Borrowings (Non-current)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4,46,00,000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3,94,00,000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3,36,00,000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Current Maturities of Long-term Debt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24,00,000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38,00,000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48,00,000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Debt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4,70,00,000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4,32,00,000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3,84,00,000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Equity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18,40,00,000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24,80,00,000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34,60,00,000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Debt-to-Equity Ratio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0.26x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0.17x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0.11x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Assets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28,20,00,000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36,40,00,000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48,80,00,000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Debt as % of Total Assets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16.7%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11.9%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7.9%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3. Cash Flow Impact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Cash Flow Item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FY2022-23 (₹)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FY2023-24 (₹)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FY2024-25 (₹)</w:t>
            </w:r>
          </w:p>
        </w:tc>
      </w:tr>
      <w:tr>
        <w:trPr>
          <w:tblHeader w:val="false"/>
        </w:trP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Cash from Operations (OCF)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1,84,00,000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3,12,00,000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4,80,00,000</w:t>
            </w:r>
          </w:p>
        </w:tc>
      </w:tr>
      <w:tr>
        <w:trPr>
          <w:tblHeader w:val="false"/>
        </w:trP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Less: Loan EMI — Principal portion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(30,00,000)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(38,00,000)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(48,00,000)</w:t>
            </w:r>
          </w:p>
        </w:tc>
      </w:tr>
      <w:tr>
        <w:trPr>
          <w:tblHeader w:val="false"/>
        </w:trP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Less: Loan EMI — Interest portion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(52,50,000)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(49,77,000)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(43,18,200)</w:t>
            </w:r>
          </w:p>
        </w:tc>
      </w:tr>
      <w:tr>
        <w:trPr>
          <w:tblHeader w:val="false"/>
        </w:trP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Free Cash Flow after Debt Service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1,01,50,000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2,24,23,000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3,88,81,800</w:t>
            </w:r>
          </w:p>
        </w:tc>
      </w:tr>
      <w:tr>
        <w:trPr>
          <w:tblHeader w:val="false"/>
        </w:trP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Free Cash Flow Margin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1.2%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1.1%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1.0%</w:t>
            </w:r>
          </w:p>
        </w:tc>
      </w:tr>
      <w:tr>
        <w:trPr>
          <w:tblHeader w:val="false"/>
        </w:trPr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DSCR (OCF / Total Debt Service)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2.2x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3.6x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4.8x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4. Return on Borrowed Capital</w:t>
      </w:r>
    </w:p>
    <w:p>
      <w:pPr>
        <w:spacing w:after="100"/>
      </w:pPr>
      <w:r>
        <w:rPr>
          <w:sz w:val="22"/>
          <w:szCs w:val="22"/>
        </w:rPr>
        <w:t xml:space="preserve">The ₹5 crore term loan was deployed in April 2022 to fund infrastructure capacity expansion. This section analyses the incremental revenue and value generated from that investment.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Pre-Loan (FY2021-22)</w:t>
            </w:r>
          </w:p>
        </w:tc>
        <w:tc>
          <w:tcPr>
            <w:tcW w:type="dxa" w:w="2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Post-Loan FY2024-25</w:t>
            </w:r>
          </w:p>
        </w:tc>
        <w:tc>
          <w:tcPr>
            <w:tcW w:type="dxa" w:w="2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Incremental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ARR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₹8.2 crore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₹38.4 crore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+₹30.2 crore (+368%)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142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712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+570 customers (+401%)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API Calls/day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120,000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12,00,000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+10x capacity utilised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68%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74%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+6 percentage points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EBITDA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₹0.82 crore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₹6.33 crore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+₹5.51 crore growth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ROI on Loan Capital: </w:t>
      </w:r>
      <w:r>
        <w:rPr>
          <w:sz w:val="22"/>
          <w:szCs w:val="22"/>
        </w:rPr>
        <w:t xml:space="preserve">The ₹5 crore infrastructure investment contributed directly to a ₹30.2 crore ARR increase — Return on Invested Capital (ROIC) of 604% over 3 years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5. Pro-forma: Post Series B (Debt-Free Scenario)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(Mar 2025)</w:t>
            </w:r>
          </w:p>
        </w:tc>
        <w:tc>
          <w:tcPr>
            <w:tcW w:type="dxa" w:w="2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Post-Series B (Sep 2025 est.)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Debt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₹3,84,00,000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Fully repaid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 Interest Saving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₹43,18,200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₹0 (saved)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+₹43 lakh cash per year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Debt/Equity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0.11x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0.00x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Debt-free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EPS Impact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+₹43 lakhs to PAT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One-time boost then recurring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₹3.84 cr liability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Clean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Simplified for investors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6. Sensitivity Analysis — Interest Rate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 Scenario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Interest Rate</w:t>
            </w:r>
          </w:p>
        </w:tc>
        <w:tc>
          <w:tcPr>
            <w:tcW w:type="dxa" w:w="2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Interest Cost (₹)</w:t>
            </w:r>
          </w:p>
        </w:tc>
        <w:tc>
          <w:tcPr>
            <w:tcW w:type="dxa" w:w="2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 on PAT (₹)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Base case (current)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10.50%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43,18,200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Reference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Rate increase +100 bps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11.50%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47,39,200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PAT reduced by ₹4,21,000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Rate increase +200 bps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12.50%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51,60,200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PAT reduced by ₹8,42,000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Rate decrease -100 bps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9.50%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38,97,200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PAT improved by ₹4,21,000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Prepayment (Sep 2025)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0%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PAT improved by ₹21,59,100 (H2 saving)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Sensitivity Assessment: </w:t>
      </w:r>
      <w:r>
        <w:rPr>
          <w:sz w:val="22"/>
          <w:szCs w:val="22"/>
        </w:rPr>
        <w:t xml:space="preserve">LOW — interest rate risk is immaterial at current loan size relative to ₹38.4 crore ARR and ₹6.33 crore EBITDA. A 200 bps rate hike impacts PAT by only ₹8.4 lakhs (0.2% of revenue).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2026-03-08T15:02:03.165Z</dcterms:created>
  <dcterms:modified xsi:type="dcterms:W3CDTF">2026-03-08T15:02:03.165Z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