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Loan &amp; Debt Risk Assessment</w:t>
      </w:r>
    </w:p>
    <w:p>
      <w:pPr>
        <w:spacing w:after="100"/>
      </w:pPr>
      <w:r>
        <w:rPr>
          <w:sz w:val="22"/>
          <w:szCs w:val="22"/>
        </w:rPr>
        <w:t xml:space="preserve">Module: Loans | Slot: Risk | Prepared by: CFO &amp; Risk Committee | Q4 FY2024-25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1. Debt Risk Summary</w:t>
      </w:r>
    </w:p>
    <w:p>
      <w:pPr>
        <w:spacing w:after="100"/>
      </w:pPr>
      <w:r>
        <w:rPr>
          <w:sz w:val="22"/>
          <w:szCs w:val="22"/>
        </w:rPr>
        <w:t xml:space="preserve">TechNova's overall debt risk is assessed as LOW. The company carries a single term loan at conservative leverage (Debt/ARR = 0.10x), has no history of default, and is actively planning full prepayment upon Series B close. The primary risk is a delay in Series B funding, which would extend the loan to its natural March 2027 maturity — well within the company's repayment capacity.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2. Loan Risk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Series B delay — loan runs to maturity Mar 2027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Funding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Cash flow sufficient for natural repayment; 18-month runway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MCLR increase — higher interest cost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Market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₹200 bps increase = only ₹8.4 lakh PAT impact; immaterial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Covenant breach — Debt/Equity exceeds 0.5x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 0.11x — would require ₹15 crore+ new debt — not planned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Hypothecated assets destroyed — insurance gap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All-risk insurance ₹3 crore; HDFC Bank loss payee noted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Personal guarantors' financial distress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Credit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3 founders financially stable; no personal insolvency risk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Bank requests additional collateral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Lender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Covenant compliance excellent; lender relationship strong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Working capital crunch — OD required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Liquidity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₹33 crore cash + ₹2 crore OD available; ARR-backed cash flow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Forex risk on export revenue hedge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Market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USD 50,000 forward contract hedges Singapore revenue exposure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3. Liquidity Risk Analysis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Cash &amp; Bank Balance (Mar 2025): </w:t>
      </w:r>
      <w:r>
        <w:rPr>
          <w:sz w:val="22"/>
          <w:szCs w:val="22"/>
        </w:rPr>
        <w:t xml:space="preserve">₹33,10,00,000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Monthly Burn Rate: </w:t>
      </w:r>
      <w:r>
        <w:rPr>
          <w:sz w:val="22"/>
          <w:szCs w:val="22"/>
        </w:rPr>
        <w:t xml:space="preserve">₹1,80,00,000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Monthly Debt Service (EMI): </w:t>
      </w:r>
      <w:r>
        <w:rPr>
          <w:sz w:val="22"/>
          <w:szCs w:val="22"/>
        </w:rPr>
        <w:t xml:space="preserve">₹11,36,000 (0.6% of burn — negligible)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Cash Runway: </w:t>
      </w:r>
      <w:r>
        <w:rPr>
          <w:sz w:val="22"/>
          <w:szCs w:val="22"/>
        </w:rPr>
        <w:t xml:space="preserve">18.4 months (without new revenue)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Liquidity Coverage Ratio: </w:t>
      </w:r>
      <w:r>
        <w:rPr>
          <w:sz w:val="22"/>
          <w:szCs w:val="22"/>
        </w:rPr>
        <w:t xml:space="preserve">18.4x (Cash / Monthly debt service) — extremely liquid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Quick Ratio: </w:t>
      </w:r>
      <w:r>
        <w:rPr>
          <w:sz w:val="22"/>
          <w:szCs w:val="22"/>
        </w:rPr>
        <w:t xml:space="preserve">3.4x — very strong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3.1 Stress Test — Revenue Drops 30%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OCF (₹)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Debt Service (₹)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Surplus / Deficit (₹)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Base Case (current)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11,36,000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+28,64,000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Comfortable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Revenue -20% (ARR ₹30.7 Cr)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28,00,000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11,36,000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+16,64,000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Manageable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Revenue -30% (ARR ₹26.9 Cr)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11,36,000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+6,64,000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Still positive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Revenue -50% (ARR ₹19.2 Cr)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11,36,000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-9,36,000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Deficit — use cash reserves (18 months buffer)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4. Covenant Breach Risk</w:t>
      </w:r>
    </w:p>
    <w:p>
      <w:pPr>
        <w:spacing w:after="100"/>
      </w:pPr>
      <w:r>
        <w:rPr>
          <w:sz w:val="22"/>
          <w:szCs w:val="22"/>
        </w:rPr>
        <w:t xml:space="preserve">Based on FY2024-25 financials and forward projections, TechNova has significant headroom on all HDFC Bank covenants. The table below shows the margin to breach for each covenant.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Covenant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Breach Point</w:t>
            </w:r>
          </w:p>
        </w:tc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Headroom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Debt/Equity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≤ 0.5x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0.11x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Equity must fall below ₹7.68 Cr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Equity would have to erode by ₹26.9 crore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 Ratio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1.5x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3.4x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 liabilities must 2.3x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Strong buffer — very unlikely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DSCR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1.25x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4.8x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OCF would need to fall by 74%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Only possible in severe distress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Min Net Worth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₹15 crore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₹34.6 Cr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Net worth must fall by ₹19.6 Cr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Company profitable — no risk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5. Series B Dependency Risk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Risk: </w:t>
      </w:r>
      <w:r>
        <w:rPr>
          <w:sz w:val="22"/>
          <w:szCs w:val="22"/>
        </w:rPr>
        <w:t xml:space="preserve">Series B fundraise does not close — planned prepayment of ₹3.84 crore not executed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Probability: </w:t>
      </w:r>
      <w:r>
        <w:rPr>
          <w:sz w:val="22"/>
          <w:szCs w:val="22"/>
        </w:rPr>
        <w:t xml:space="preserve">Low — term sheet signed; exclusivity active; investor due diligence underway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 if Series B Delayed 6 Months: </w:t>
      </w:r>
      <w:r>
        <w:rPr>
          <w:sz w:val="22"/>
          <w:szCs w:val="22"/>
        </w:rPr>
        <w:t xml:space="preserve">Loan continues — additional interest cost ₹21,59,100 — manageable from existing cash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 if Series B Fails Completely: </w:t>
      </w:r>
      <w:r>
        <w:rPr>
          <w:sz w:val="22"/>
          <w:szCs w:val="22"/>
        </w:rPr>
        <w:t xml:space="preserve">Company continues normal repayment schedule — loan fully repaid by March 2027 from operating cash flow — no existential risk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Mitigant: </w:t>
      </w:r>
      <w:r>
        <w:rPr>
          <w:sz w:val="22"/>
          <w:szCs w:val="22"/>
        </w:rPr>
        <w:t xml:space="preserve">₹33.1 crore cash balance provides ample coverage for full loan balance even without Series B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6. Future Debt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Post-Series B: Full prepayment of ₹3,84,00,000 — company aims to be debt-free by September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Debt-free operations until ARR crosses ₹100 crore (FY2026-27 projected)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 ₹100 crore ARR: Consider venture debt of ₹20-30 crore for international expansion working capital at favourable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Pre-IPO: Establish ₹50 crore revolving credit facility for bridge financing flexibility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leveraged buyout or acquisition financing planned in near 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Board-approved maximum leverage: Debt/ARR ≤ 0.25x at all times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7. Overall Risk Rating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Debt Risk: </w:t>
      </w:r>
      <w:r>
        <w:rPr>
          <w:sz w:val="22"/>
          <w:szCs w:val="22"/>
        </w:rPr>
        <w:t xml:space="preserve">LOW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Liquidity Risk: </w:t>
      </w:r>
      <w:r>
        <w:rPr>
          <w:sz w:val="22"/>
          <w:szCs w:val="22"/>
        </w:rPr>
        <w:t xml:space="preserve">VERY LOW — 18 months runway, debt service covers only 0.6% of monthly burn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Covenant Risk: </w:t>
      </w:r>
      <w:r>
        <w:rPr>
          <w:sz w:val="22"/>
          <w:szCs w:val="22"/>
        </w:rPr>
        <w:t xml:space="preserve">VERY LOW — all covenants satisfied with significant headroom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Credit Risk: </w:t>
      </w:r>
      <w:r>
        <w:rPr>
          <w:sz w:val="22"/>
          <w:szCs w:val="22"/>
        </w:rPr>
        <w:t xml:space="preserve">VERY LOW — CIBIL Rank 1, zero DPD history, clean audit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Recommendation: </w:t>
      </w:r>
      <w:r>
        <w:rPr>
          <w:sz w:val="22"/>
          <w:szCs w:val="22"/>
        </w:rPr>
        <w:t xml:space="preserve">No action required. Proceed with Series B to achieve debt-free status. Maintain OD facility as buffer post-Series 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2026-03-08T15:02:03.181Z</dcterms:created>
  <dcterms:modified xsi:type="dcterms:W3CDTF">2026-03-08T15:02:03.181Z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