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Artefatos adicionais: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PERFIL CLIENTE: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RF021 - Editar a solicitação:  </w:t>
      </w:r>
      <w:r w:rsidDel="00000000" w:rsidR="00000000" w:rsidRPr="00000000">
        <w:rPr>
          <w:rtl w:val="0"/>
        </w:rPr>
        <w:t xml:space="preserve">Caso o cliente tenha cometido um erro de escrita no momento que criar a solicitação, ou tenha esquecido de um ou mais detalhes sobre o defeito do dispositivo, ele pode clicar no botão de Editar a Solicitação, disponível nas informações da solicitação, apenas quando seu estado de solicitação constar ABERTA. Ou seja, depois de orçado, não poderá haver alterações da solicitação.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RF022 - Deletar Solicitação: </w:t>
      </w:r>
      <w:r w:rsidDel="00000000" w:rsidR="00000000" w:rsidRPr="00000000">
        <w:rPr>
          <w:rtl w:val="0"/>
        </w:rPr>
        <w:t xml:space="preserve"> Caso o cliente, por uma questão pessoal, não desejar que sua solicitação seja continuada, ele pode clicar no botão de Deletar Solicitação, disponível nas informações da solicitação, apenas quando seu estado de solicitação constar ABERTA. Ou seja, depois de orçado, não poderá haver a opção de deletar a opção.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