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FE" w:rsidRDefault="00BB0DF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</w:t>
      </w:r>
      <w:bookmarkStart w:id="2" w:name="_GoBack"/>
      <w:bookmarkEnd w:id="2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3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3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05205E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14.1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4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4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5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6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++, --, +, -.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7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8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8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i++;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9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9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10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1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Explicit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1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2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2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3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4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4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5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5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new 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arr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boolean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Reference type arrays (like String[])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6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6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7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7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8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9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0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20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2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2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Utilities and Methods: Wrapper classes provide utility methods for conversion and manipulation.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3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3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4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5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5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Can var </w:t>
      </w:r>
      <w:r>
        <w:rPr>
          <w:b/>
          <w:sz w:val="24"/>
          <w:lang w:eastAsia="en-IN"/>
        </w:rPr>
        <w:t>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var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9F2" w:rsidRDefault="007109F2" w:rsidP="009575CC">
      <w:pPr>
        <w:spacing w:after="0" w:line="240" w:lineRule="auto"/>
      </w:pPr>
      <w:r>
        <w:separator/>
      </w:r>
    </w:p>
  </w:endnote>
  <w:endnote w:type="continuationSeparator" w:id="0">
    <w:p w:rsidR="007109F2" w:rsidRDefault="007109F2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787" w:rsidRDefault="001D17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DFE">
          <w:rPr>
            <w:noProof/>
          </w:rPr>
          <w:t>21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1D1787" w:rsidRDefault="001D1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9F2" w:rsidRDefault="007109F2" w:rsidP="009575CC">
      <w:pPr>
        <w:spacing w:after="0" w:line="240" w:lineRule="auto"/>
      </w:pPr>
      <w:r>
        <w:separator/>
      </w:r>
    </w:p>
  </w:footnote>
  <w:footnote w:type="continuationSeparator" w:id="0">
    <w:p w:rsidR="007109F2" w:rsidRDefault="007109F2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55886"/>
    <w:rsid w:val="00471941"/>
    <w:rsid w:val="0048523D"/>
    <w:rsid w:val="00515D4E"/>
    <w:rsid w:val="00523E25"/>
    <w:rsid w:val="00547703"/>
    <w:rsid w:val="00581BCE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704901"/>
    <w:rsid w:val="00705405"/>
    <w:rsid w:val="007109F2"/>
    <w:rsid w:val="00735985"/>
    <w:rsid w:val="00746F21"/>
    <w:rsid w:val="00756F89"/>
    <w:rsid w:val="00785FE9"/>
    <w:rsid w:val="007B743F"/>
    <w:rsid w:val="007D3E6E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91709"/>
    <w:rsid w:val="00BA4E79"/>
    <w:rsid w:val="00BB0DFE"/>
    <w:rsid w:val="00BC1427"/>
    <w:rsid w:val="00BD3D16"/>
    <w:rsid w:val="00BF7019"/>
    <w:rsid w:val="00C95C77"/>
    <w:rsid w:val="00CF30B2"/>
    <w:rsid w:val="00CF699B"/>
    <w:rsid w:val="00CF7D59"/>
    <w:rsid w:val="00D03956"/>
    <w:rsid w:val="00D04201"/>
    <w:rsid w:val="00D432CE"/>
    <w:rsid w:val="00D757B5"/>
    <w:rsid w:val="00D7632D"/>
    <w:rsid w:val="00D95BCA"/>
    <w:rsid w:val="00DA6AE4"/>
    <w:rsid w:val="00E07384"/>
    <w:rsid w:val="00E236F2"/>
    <w:rsid w:val="00E779C3"/>
    <w:rsid w:val="00EA05AF"/>
    <w:rsid w:val="00EA0CFB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9426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850D-12C5-48EB-8369-166EBC79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27463</TotalTime>
  <Pages>33</Pages>
  <Words>6086</Words>
  <Characters>34691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21</cp:revision>
  <cp:lastPrinted>2024-11-19T11:23:00Z</cp:lastPrinted>
  <dcterms:created xsi:type="dcterms:W3CDTF">2024-02-06T01:21:00Z</dcterms:created>
  <dcterms:modified xsi:type="dcterms:W3CDTF">2024-11-20T12:55:00Z</dcterms:modified>
</cp:coreProperties>
</file>