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ED4063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ED406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5E6924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pt;height:214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bookmarkStart w:id="5" w:name="_GoBack"/>
      <w:bookmarkEnd w:id="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6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="00707B06">
        <w:rPr>
          <w:rFonts w:eastAsia="Times New Roman" w:cstheme="minorHAnsi"/>
          <w:color w:val="000000"/>
          <w:sz w:val="24"/>
          <w:lang w:eastAsia="en-IN"/>
        </w:rPr>
        <w:t>: ++, --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7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8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8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E16F93">
      <w:pPr>
        <w:tabs>
          <w:tab w:val="left" w:pos="3164"/>
        </w:tabs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  <w:r w:rsidR="00E16F9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ab/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9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9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10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1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Explicit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1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2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2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3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4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4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5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5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 xml:space="preserve">new </w:t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104495">
        <w:rPr>
          <w:sz w:val="24"/>
          <w:lang w:eastAsia="en-IN"/>
        </w:rPr>
        <w:t>boolean</w:t>
      </w:r>
      <w:proofErr w:type="spellEnd"/>
      <w:proofErr w:type="gramEnd"/>
      <w:r w:rsidRPr="00104495">
        <w:rPr>
          <w:sz w:val="24"/>
          <w:lang w:eastAsia="en-IN"/>
        </w:rPr>
        <w:t xml:space="preserve">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 xml:space="preserve">Reference type arrays (like </w:t>
      </w:r>
      <w:proofErr w:type="gramStart"/>
      <w:r w:rsidRPr="00104495">
        <w:rPr>
          <w:sz w:val="24"/>
          <w:lang w:eastAsia="en-IN"/>
        </w:rPr>
        <w:t>String[</w:t>
      </w:r>
      <w:proofErr w:type="gramEnd"/>
      <w:r w:rsidRPr="00104495">
        <w:rPr>
          <w:sz w:val="24"/>
          <w:lang w:eastAsia="en-IN"/>
        </w:rPr>
        <w:t>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6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6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7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7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8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9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0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20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2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2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Utilities and Methods: </w:t>
      </w:r>
      <w:r w:rsidR="00B843A0">
        <w:rPr>
          <w:rFonts w:eastAsia="Times New Roman" w:cstheme="minorHAnsi"/>
          <w:sz w:val="24"/>
          <w:szCs w:val="24"/>
          <w:lang w:eastAsia="en-IN"/>
        </w:rPr>
        <w:t xml:space="preserve">1         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3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3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4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5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5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Can var 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var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CB6" w:rsidRDefault="00163CB6" w:rsidP="009575CC">
      <w:pPr>
        <w:spacing w:after="0" w:line="240" w:lineRule="auto"/>
      </w:pPr>
      <w:r>
        <w:separator/>
      </w:r>
    </w:p>
  </w:endnote>
  <w:endnote w:type="continuationSeparator" w:id="0">
    <w:p w:rsidR="00163CB6" w:rsidRDefault="00163CB6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4063" w:rsidRDefault="00ED40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80C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ED4063" w:rsidRDefault="00ED4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CB6" w:rsidRDefault="00163CB6" w:rsidP="009575CC">
      <w:pPr>
        <w:spacing w:after="0" w:line="240" w:lineRule="auto"/>
      </w:pPr>
      <w:r>
        <w:separator/>
      </w:r>
    </w:p>
  </w:footnote>
  <w:footnote w:type="continuationSeparator" w:id="0">
    <w:p w:rsidR="00163CB6" w:rsidRDefault="00163CB6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63CB6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8523D"/>
    <w:rsid w:val="004C19DF"/>
    <w:rsid w:val="00515D4E"/>
    <w:rsid w:val="00523E25"/>
    <w:rsid w:val="00547703"/>
    <w:rsid w:val="005608D3"/>
    <w:rsid w:val="00581BCE"/>
    <w:rsid w:val="005E6924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6F5BA8"/>
    <w:rsid w:val="00704901"/>
    <w:rsid w:val="00705405"/>
    <w:rsid w:val="00707B06"/>
    <w:rsid w:val="007109F2"/>
    <w:rsid w:val="00735985"/>
    <w:rsid w:val="00746F21"/>
    <w:rsid w:val="00756F89"/>
    <w:rsid w:val="00785FE9"/>
    <w:rsid w:val="007B743F"/>
    <w:rsid w:val="007D3E6E"/>
    <w:rsid w:val="007D47F7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843A0"/>
    <w:rsid w:val="00B91709"/>
    <w:rsid w:val="00BA4E79"/>
    <w:rsid w:val="00BB0DFE"/>
    <w:rsid w:val="00BC1427"/>
    <w:rsid w:val="00BC581E"/>
    <w:rsid w:val="00BD3D16"/>
    <w:rsid w:val="00BF7019"/>
    <w:rsid w:val="00C95C77"/>
    <w:rsid w:val="00CF30B2"/>
    <w:rsid w:val="00CF699B"/>
    <w:rsid w:val="00CF7D59"/>
    <w:rsid w:val="00D03956"/>
    <w:rsid w:val="00D04201"/>
    <w:rsid w:val="00D432CE"/>
    <w:rsid w:val="00D757B5"/>
    <w:rsid w:val="00D7632D"/>
    <w:rsid w:val="00D95BCA"/>
    <w:rsid w:val="00DA6AE4"/>
    <w:rsid w:val="00E07384"/>
    <w:rsid w:val="00E16F93"/>
    <w:rsid w:val="00E236F2"/>
    <w:rsid w:val="00E4280C"/>
    <w:rsid w:val="00E77588"/>
    <w:rsid w:val="00E779C3"/>
    <w:rsid w:val="00EA05AF"/>
    <w:rsid w:val="00EA0CFB"/>
    <w:rsid w:val="00ED4063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7808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6D66-5886-4A4C-A790-B6BB4727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29006</TotalTime>
  <Pages>33</Pages>
  <Words>6072</Words>
  <Characters>34611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28</cp:revision>
  <cp:lastPrinted>2025-01-12T11:08:00Z</cp:lastPrinted>
  <dcterms:created xsi:type="dcterms:W3CDTF">2024-02-06T01:21:00Z</dcterms:created>
  <dcterms:modified xsi:type="dcterms:W3CDTF">2025-01-13T10:31:00Z</dcterms:modified>
</cp:coreProperties>
</file>