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Coordinated cross-functional execution and operational delivery by creative vendors and launches.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Drove performance reporting, KPI analysis, and optimization by digital ad strategy and reporting.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