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spacing w:after="0" w:line="240" w:lineRule="auto"/>
      </w:pPr>
      <w:r>
        <w:rPr>
          <w:sz w:val="17"/>
        </w:rPr>
        <w:t>Improved reporting and KPIs by digital ad strategy.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spacing w:after="0" w:line="240" w:lineRule="auto"/>
      </w:pPr>
      <w:r>
        <w:rPr>
          <w:sz w:val="17"/>
        </w:rPr>
        <w:t>Directed software implementation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