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>
          <w:sz w:val="20"/>
        </w:rPr>
        <w:t>Improved reporting and KPI performance by digital ad strategy reporting.</w:t>
      </w:r>
    </w:p>
    <w:p>
      <w:pPr>
        <w:pStyle w:val="ListBullet"/>
      </w:pPr>
      <w:r>
        <w:rPr>
          <w:sz w:val="20"/>
        </w:rPr>
        <w:t>Managed creative vendors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>
          <w:sz w:val="20"/>
        </w:rPr>
        <w:t>Directed software implementation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