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2"/>
      </w:pPr>
      <w:r>
        <w:rPr/>
        <w:t>Underdog Strategies, New York, NY — Digital Advertising and Field Manager</w:t>
      </w:r>
    </w:p>
    <w:p>
      <w:r>
        <w:rPr/>
        <w:t>JULY 2024 - Present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Coordinated cross-functional execution and operational delivery by creative vendors and launches.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Drove performance reporting, KPI analysis, and optimization by digital ad strategy and reporting.</w:t>
      </w:r>
    </w:p>
    <w:p>
      <w:pPr>
        <w:pStyle w:val="Heading2"/>
      </w:pPr>
      <w:r>
        <w:rPr/>
        <w:t>Behavioral Associates, New York, NY — Operations Manager</w:t>
      </w:r>
    </w:p>
    <w:p>
      <w:pPr>
        <w:pStyle w:val="Heading3"/>
      </w:pPr>
      <w:r>
        <w:rPr/>
        <w:t>JUNE 2023 - JULY 2024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Directed software implementation and internal systems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r>
        <w:rPr/>
        <w:t>Dashboard Reporting, Google Analytics, Operations, Project Management, CRM, Data Analysis, Mailchimp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2"/>
        <w:szCs w:val="12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