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erriweather-bold.ttf" ContentType="application/x-font-ttf"/>
  <Override PartName="/word/fonts/Merriweather-boldItalic.ttf" ContentType="application/x-font-ttf"/>
  <Override PartName="/word/fonts/Merriweather-italic.ttf" ContentType="application/x-font-ttf"/>
  <Override PartName="/word/fonts/Merriweath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0" w:line="312" w:lineRule="auto"/>
        <w:ind w:right="300"/>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robert.a.f.thom@gmail.com</w:t>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sz w:val="18"/>
          <w:szCs w:val="18"/>
        </w:rPr>
        <w:drawing>
          <wp:inline distB="114300" distT="114300" distL="114300" distR="114300">
            <wp:extent cx="190500" cy="200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 cy="200025"/>
                    </a:xfrm>
                    <a:prstGeom prst="rect"/>
                    <a:ln/>
                  </pic:spPr>
                </pic:pic>
              </a:graphicData>
            </a:graphic>
          </wp:inline>
        </w:drawing>
      </w:r>
      <w:hyperlink r:id="rId7">
        <w:r w:rsidDel="00000000" w:rsidR="00000000" w:rsidRPr="00000000">
          <w:rPr>
            <w:rFonts w:ascii="Merriweather" w:cs="Merriweather" w:eastAsia="Merriweather" w:hAnsi="Merriweather"/>
            <w:sz w:val="18"/>
            <w:szCs w:val="18"/>
            <w:u w:val="single"/>
            <w:rtl w:val="0"/>
          </w:rPr>
          <w:t xml:space="preserve">linkedin.com/in/robert-thom-4a198294</w:t>
        </w:r>
      </w:hyperlink>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color w:val="666666"/>
          <w:sz w:val="18"/>
          <w:szCs w:val="18"/>
        </w:rPr>
        <w:drawing>
          <wp:inline distB="114300" distT="114300" distL="114300" distR="114300">
            <wp:extent cx="190500" cy="22363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 cy="223630"/>
                    </a:xfrm>
                    <a:prstGeom prst="rect"/>
                    <a:ln/>
                  </pic:spPr>
                </pic:pic>
              </a:graphicData>
            </a:graphic>
          </wp:inline>
        </w:drawing>
      </w:r>
      <w:r w:rsidDel="00000000" w:rsidR="00000000" w:rsidRPr="00000000">
        <w:rPr>
          <w:rFonts w:ascii="Merriweather" w:cs="Merriweather" w:eastAsia="Merriweather" w:hAnsi="Merriweather"/>
          <w:color w:val="666666"/>
          <w:sz w:val="18"/>
          <w:szCs w:val="18"/>
          <w:rtl w:val="0"/>
        </w:rPr>
        <w:t xml:space="preserve"> </w:t>
      </w:r>
      <w:r w:rsidDel="00000000" w:rsidR="00000000" w:rsidRPr="00000000">
        <w:rPr>
          <w:rFonts w:ascii="Merriweather" w:cs="Merriweather" w:eastAsia="Merriweather" w:hAnsi="Merriweather"/>
          <w:b w:val="1"/>
          <w:bCs w:val="1"/>
          <w:sz w:val="18"/>
          <w:szCs w:val="18"/>
          <w:rtl w:val="0"/>
        </w:rPr>
        <w:t xml:space="preserve">(530) 220-4847</w:t>
      </w:r>
    </w:p>
    <w:p w:rsidR="00000000" w:rsidDel="00000000" w:rsidP="00000000" w:rsidRDefault="00000000" w:rsidRPr="00000000" w14:paraId="00000002">
      <w:pPr>
        <w:widowControl w:val="0"/>
        <w:spacing w:line="312" w:lineRule="auto"/>
        <w:ind w:right="300"/>
        <w:jc w:val="center"/>
        <w:rPr>
          <w:rFonts w:ascii="Merriweather" w:cs="Merriweather" w:eastAsia="Merriweather" w:hAnsi="Merriweather"/>
          <w:b w:val="1"/>
          <w:bCs w:val="1"/>
          <w:i w:val="1"/>
          <w:iCs w:val="1"/>
          <w:color w:val="2079c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widowControl w:val="0"/>
        <w:spacing w:after="0" w:before="0" w:line="240" w:lineRule="auto"/>
        <w:ind w:right="300"/>
        <w:jc w:val="center"/>
        <w:rPr>
          <w:rFonts w:ascii="Open Sans" w:cs="Open Sans" w:eastAsia="Open Sans" w:hAnsi="Open Sans"/>
          <w:b w:val="1"/>
          <w:bCs w:val="1"/>
          <w:sz w:val="26"/>
          <w:szCs w:val="26"/>
        </w:rPr>
      </w:pPr>
      <w:bookmarkStart w:colFirst="0" w:colLast="0" w:name="_97tz42u081sq" w:id="0"/>
      <w:bookmarkEnd w:id="0"/>
      <w:r w:rsidDel="00000000" w:rsidR="00000000" w:rsidRPr="00000000">
        <w:rPr>
          <w:rFonts w:ascii="Open Sans" w:cs="Open Sans" w:eastAsia="Open Sans" w:hAnsi="Open Sans"/>
          <w:b w:val="1"/>
          <w:bCs w:val="1"/>
          <w:sz w:val="26"/>
          <w:szCs w:val="26"/>
          <w:rtl w:val="0"/>
        </w:rPr>
        <w:t xml:space="preserve">WORK EXPERIENCE</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Underdog Strategies, New York, NY — Digital Advertising and Field Manager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JULY  2024 - Present</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Spearheaded with a focus on analytics and reporting and growth marketing a new digital ad strategy for charter school clients, including sentiment analysis of ad copy, which boosted student inquiries by 35% and lowered cost per lead by 15% across key campaigns.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Led with a focus on analytics and reporting and growth marketing and trained a team of 15+ canvassers, exceeding monthly lead generation targets by an average of 10% through a new data-informed training program focused on effective community engagement.</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Streamlined with a focus on analytics and reporting and growth marketing lead data review and updated real-time dashboards for executive leadership, developing metrics for canvasser productivity and providing immediate insights for campaign adjustments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Managed with a focus on growth marketing and operational execution and optimized social media campaigns, leading to a 50% increase in brand awareness and a 25% increase in engagement with key demographics in the Bronx.</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Collaborated with a focus on cross-functional collaboration with in-house graphic designers and/or working with freelance photographers, videographers, and other creatives.</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Behavioral Associates, New York, NY — Operations Manager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JUNE 2023 - JULY  2024</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Created with a focus on growth marketing and cross-functional collaboration and delivered both in-person and virtual educational programming and training for clients, new hires, trainees, and graduate interns.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Coordinated with a focus on cross-functional collaboration a referral network with local hospitals and private practices, and worked with local private schools to bring mental health initiatives and town hall discussions to their institution.</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Strategically directed the software development and implementation of a private use digital medical records, billing, and appointment management system.</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Acceleration Strategies, Brooklyn, NY — Campaign Manager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JUNE 2020 - JUNE  2023</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Managed with a focus on growth marketing and operational execution a portfolio of over 500 actual and prospective political donors, cultivated relationships with donors which helped to secure over $30,000 in financial contributions from individuals and organizations, leading to three primary wins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Expanded with a focus on growth marketing and operational execution local press coverage with a $10,000 ad campaign, generating large volumes of volunteer signups and donations; managed social media platforms and drafted press releases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Oversaw with a focus on growth marketing and operational execution field operations including volunteer coordination, an intern program, community outreach reaching 37,000 voters, and managing campaign budgets of over $190,000</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Reached out on behalf of the campaign to successfully convert community leaders, political organizations labor unions and small business owners to supporters with a focus on growth marketing and cross-functional collaboration.</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Set goals and tasks for campaign staff in all departments and monitored campaign staff progress on tasks through daily debriefs and trackers with a focus on growth marketing.</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Bloomberg 2020 Campaign, New York, NY — Regional Organizing Director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NOVEMBER 2019 - JUNE 2020</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Met regularly with important community leaders and coalition partners with a focus on growth marketing and cross-functional collaboration.</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Recruited with a focus on operational execution and managed a staff of 20 paid organizers and volunteers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Leveraged CRM software to identify likely supporters and execute voter outreach</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Political Campaign Work, New York, NY —  Deputy Campaign Manager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JANUARY 2018 - OCTOBER 2019</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Interfaced with clients, collected specifications for the campaign plan and realized the plan by building suitable campaign team and infrastructure with a focus on growth marketing and cross-functional collaboration.</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Collect data on political districts, candidates, and issues to provide actionable insights with a focus on analytics and reporting.</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Co-ordinated districtwide GOTV operations to maximize voter turnout and conversion with a focus on operational execution.</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The Common Good, New York, NY —  Project Manager</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AUGUST 2015 - DECEMBER 2017</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Analyzed with a focus on analytics and reporting and growth marketing social media and email messaging metrics to improve SEO</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Oversaw with a focus on growth marketing and operational execution a team of seven in the production of original branded video content and white papers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Planned with a focus on growth marketing and ran politically themed events, culminating in a yearly forum for influential attendees, featuring political, military and journalistic thought-leaders</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Creative Associates International, Washington, DC — Data Analyst</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r>
        <w:rPr>
          <w:rFonts w:ascii="Merriweather" w:hAnsi="Merriweather"/>
          <w:b/>
          <w:sz w:val="22"/>
        </w:rPr>
        <w:t>JUNE 2014 - AUGUST 2014</w:t>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Pr/>
        <w:t>Presented with a focus on analytics and reporting and growth marketing that report to a meeting of the heads of departments and answered questions to explain key insights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Captured with a focus on analytics and reporting and cleaned data from congressional budget justification PDFs to create a datafile for original data analysis in Excel to identify potential future market trends</w:t>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r>
        <w:rPr>
          <w:rFonts w:ascii="Open Sans" w:hAnsi="Open Sans"/>
          <w:b/>
          <w:sz w:val="26"/>
        </w:rPr>
        <w:t>Produced with a focus on analytics and reporting a report to inform resource allocation for millions of dollars in contracts for FY 2014-2015 firm Requests For Proposals</w:t>
      </w:r>
    </w:p>
    <w:p w:rsidR="00000000" w:rsidDel="00000000" w:rsidP="00000000" w:rsidRDefault="00000000" w:rsidRPr="00000000" w14:paraId="0000002C">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4o9kzum1m5wf" w:id="13"/>
      <w:bookmarkEnd w:id="13"/>
      <w:r w:rsidDel="00000000" w:rsidR="00000000" w:rsidRPr="00000000">
        <w:rPr>
          <w:rFonts w:ascii="Open Sans" w:cs="Open Sans" w:eastAsia="Open Sans" w:hAnsi="Open Sans"/>
          <w:b w:val="1"/>
          <w:bCs w:val="1"/>
          <w:sz w:val="26"/>
          <w:szCs w:val="26"/>
          <w:rtl w:val="0"/>
        </w:rPr>
        <w:t xml:space="preserve">EDUCATION</w:t>
      </w:r>
    </w:p>
    <w:p w:rsidR="00000000" w:rsidDel="00000000" w:rsidP="00000000" w:rsidRDefault="00000000" w:rsidRPr="00000000" w14:paraId="0000002D">
      <w:pPr>
        <w:pStyle w:val="Heading2"/>
        <w:widowControl w:val="0"/>
        <w:spacing w:after="0" w:before="320" w:line="240" w:lineRule="auto"/>
        <w:ind w:right="300"/>
        <w:rPr>
          <w:rFonts w:ascii="Merriweather" w:cs="Merriweather" w:eastAsia="Merriweather" w:hAnsi="Merriweather"/>
          <w:sz w:val="18"/>
          <w:szCs w:val="18"/>
        </w:rPr>
      </w:pPr>
      <w:bookmarkStart w:colFirst="0" w:colLast="0" w:name="_nezk3etees3b" w:id="14"/>
      <w:bookmarkEnd w:id="14"/>
      <w:r w:rsidDel="00000000" w:rsidR="00000000" w:rsidRPr="00000000">
        <w:rPr>
          <w:rFonts w:ascii="Merriweather" w:cs="Merriweather" w:eastAsia="Merriweather" w:hAnsi="Merriweather"/>
          <w:b w:val="1"/>
          <w:bCs w:val="1"/>
          <w:sz w:val="22"/>
          <w:szCs w:val="22"/>
          <w:rtl w:val="0"/>
        </w:rPr>
        <w:t xml:space="preserve">University of California, Davis </w:t>
        <w:tab/>
        <w:tab/>
        <w:tab/>
        <w:tab/>
        <w:tab/>
        <w:tab/>
        <w:tab/>
        <w:tab/>
      </w:r>
      <w:r w:rsidDel="00000000" w:rsidR="00000000" w:rsidRPr="00000000">
        <w:rPr>
          <w:rFonts w:ascii="Merriweather" w:cs="Merriweather" w:eastAsia="Merriweather" w:hAnsi="Merriweather"/>
          <w:i w:val="1"/>
          <w:iCs w:val="1"/>
          <w:sz w:val="22"/>
          <w:szCs w:val="22"/>
          <w:rtl w:val="0"/>
        </w:rPr>
        <w:t xml:space="preserve">Bachelor of Arts in Political Science</w:t>
      </w:r>
      <w:r w:rsidDel="00000000" w:rsidR="00000000" w:rsidRPr="00000000">
        <w:rPr>
          <w:rFonts w:ascii="Merriweather" w:cs="Merriweather" w:eastAsia="Merriweather" w:hAnsi="Merriweather"/>
          <w:color w:val="666666"/>
          <w:sz w:val="22"/>
          <w:szCs w:val="22"/>
          <w:rtl w:val="0"/>
        </w:rPr>
        <w:tab/>
        <w:tab/>
        <w:tab/>
        <w:tab/>
        <w:tab/>
      </w:r>
      <w:r w:rsidDel="00000000" w:rsidR="00000000" w:rsidRPr="00000000">
        <w:rPr>
          <w:rFonts w:ascii="Merriweather" w:cs="Merriweather" w:eastAsia="Merriweather" w:hAnsi="Merriweather"/>
          <w:i w:val="1"/>
          <w:iCs w:val="1"/>
          <w:sz w:val="22"/>
          <w:szCs w:val="22"/>
          <w:rtl w:val="0"/>
        </w:rPr>
        <w:t xml:space="preserve">Class of 2015</w:t>
      </w:r>
      <w:r w:rsidDel="00000000" w:rsidR="00000000" w:rsidRPr="00000000">
        <w:rPr>
          <w:rFonts w:ascii="Merriweather" w:cs="Merriweather" w:eastAsia="Merriweather" w:hAnsi="Merriweather"/>
          <w:color w:val="666666"/>
          <w:sz w:val="22"/>
          <w:szCs w:val="22"/>
          <w:rtl w:val="0"/>
        </w:rPr>
        <w:tab/>
      </w:r>
      <w:r w:rsidDel="00000000" w:rsidR="00000000" w:rsidRPr="00000000">
        <w:rPr>
          <w:rFonts w:ascii="Merriweather" w:cs="Merriweather" w:eastAsia="Merriweather" w:hAnsi="Merriweather"/>
          <w:color w:val="666666"/>
          <w:sz w:val="16"/>
          <w:szCs w:val="16"/>
          <w:rtl w:val="0"/>
        </w:rPr>
        <w:tab/>
      </w:r>
      <w:r w:rsidDel="00000000" w:rsidR="00000000" w:rsidRPr="00000000">
        <w:rPr>
          <w:rtl w:val="0"/>
        </w:rPr>
      </w:r>
    </w:p>
    <w:p w:rsidR="00000000" w:rsidDel="00000000" w:rsidP="00000000" w:rsidRDefault="00000000" w:rsidRPr="00000000" w14:paraId="0000002E">
      <w:pPr>
        <w:widowControl w:val="0"/>
        <w:spacing w:line="312" w:lineRule="auto"/>
        <w:ind w:right="300"/>
        <w:jc w:val="center"/>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widowControl w:val="0"/>
        <w:spacing w:after="0" w:before="0" w:line="240" w:lineRule="auto"/>
        <w:ind w:right="300"/>
        <w:rPr>
          <w:rFonts w:ascii="Open Sans" w:cs="Open Sans" w:eastAsia="Open Sans" w:hAnsi="Open Sans"/>
          <w:b w:val="1"/>
          <w:bCs w:val="1"/>
          <w:sz w:val="26"/>
          <w:szCs w:val="26"/>
        </w:rPr>
      </w:pPr>
      <w:bookmarkStart w:colFirst="0" w:colLast="0" w:name="_bsrvb4i9jwdu" w:id="15"/>
      <w:bookmarkEnd w:id="15"/>
      <w:r w:rsidDel="00000000" w:rsidR="00000000" w:rsidRPr="00000000">
        <w:rPr>
          <w:rFonts w:ascii="Open Sans" w:cs="Open Sans" w:eastAsia="Open Sans" w:hAnsi="Open Sans"/>
          <w:b w:val="1"/>
          <w:bCs w:val="1"/>
          <w:sz w:val="26"/>
          <w:szCs w:val="26"/>
          <w:rtl w:val="0"/>
        </w:rPr>
        <w:t xml:space="preserve">KEY SKILLS</w:t>
      </w:r>
    </w:p>
    <w:p w:rsidR="00000000" w:rsidDel="00000000" w:rsidP="00000000" w:rsidRDefault="00000000" w:rsidRPr="00000000" w14:paraId="00000030">
      <w:pPr>
        <w:widowControl w:val="0"/>
        <w:spacing w:before="320" w:line="240" w:lineRule="auto"/>
        <w:ind w:right="300"/>
        <w:rPr>
          <w:rFonts w:ascii="Merriweather" w:cs="Merriweather" w:eastAsia="Merriweather" w:hAnsi="Merriweather"/>
          <w:b w:val="1"/>
          <w:bCs w:val="1"/>
          <w:sz w:val="18"/>
          <w:szCs w:val="18"/>
        </w:rPr>
      </w:pPr>
      <w:r>
        <w:rPr>
          <w:rFonts w:ascii="Merriweather" w:hAnsi="Merriweather"/>
          <w:sz w:val="18"/>
        </w:rPr>
        <w:t>Dashboard Reporting, Meta Ads Manager, Salesforce Marketing Cloud, Google Analytics, Cross-Functional Collaboration, Operations, Project Management, CRM, Data Analysis, MS Excel, MS Powerpoint, MS Project, Asana, Programmatic Display, Google Adwords, Youtube, TikTok, Native Advertising, WordPress, Mailchimp, SEO, Canva, Adobe InDesign, Adobe Photoshop</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keepNext w:val="0"/>
      <w:keepLines w:val="0"/>
      <w:spacing w:after="0" w:line="240" w:lineRule="auto"/>
      <w:ind w:right="-720"/>
      <w:jc w:val="center"/>
      <w:rPr>
        <w:rFonts w:ascii="Montserrat" w:cs="Montserrat" w:eastAsia="Montserrat" w:hAnsi="Montserrat"/>
        <w:color w:val="2079c7"/>
        <w:sz w:val="64"/>
        <w:szCs w:val="64"/>
      </w:rPr>
    </w:pPr>
    <w:bookmarkStart w:colFirst="0" w:colLast="0" w:name="_5v9kfwo7fo1p" w:id="16"/>
    <w:bookmarkEnd w:id="16"/>
    <w:r w:rsidDel="00000000" w:rsidR="00000000" w:rsidRPr="00000000">
      <w:rPr>
        <w:rFonts w:ascii="Montserrat" w:cs="Montserrat" w:eastAsia="Montserrat" w:hAnsi="Montserrat"/>
        <w:color w:val="2079c7"/>
        <w:sz w:val="64"/>
        <w:szCs w:val="64"/>
        <w:rtl w:val="0"/>
      </w:rPr>
      <w:t xml:space="preserve">ROBERT THOM</w:t>
    </w:r>
  </w:p>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linkedin.com/in/robert-thom-4a198294"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