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Spearheaded a new digital ad strategy for charter school clients, including sentiment analysis of ad copy, which boosted student inquiries by 35% and lowered cost per lead by 15% across key campaigns with a focus on lifecycle and ROI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Streamlined lead data review and updated real-time dashboards for executive leadership, developing metrics for canvasser productivity and providing immediate insights for campaign adjustments.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and trained a team of 15+ canvassers, exceeding monthly lead generation and performance targets by an average of 10% through a new data-informed training program focused on effective community engagement.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and optimized integrated campaigns, leading to a 50% increase in brand awareness and a 25% increase in engagement with key demographics in the Bronx.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Marketing Strategy, ROI Reporting, Operations, Project Management, CRM, Data Analysis, Mailchimp, Google Analytics, Dashboard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