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t>Underdog Strategies, New York, NY — Digital Advertising and Field Manager</w:t>
      </w:r>
    </w:p>
    <w:p>
      <w:r>
        <w:t>JULY 2024 - Present</w:t>
      </w:r>
    </w:p>
    <w:p>
      <w:pPr>
        <w:pStyle w:val="ListBullet"/>
      </w:pPr>
      <w:r>
        <w:t>Led digital ad strategy and reporting</w:t>
      </w:r>
    </w:p>
    <w:p>
      <w:pPr>
        <w:pStyle w:val="ListBullet"/>
      </w:pPr>
      <w:r>
        <w:t>Managed creative vendors and launches</w:t>
      </w:r>
    </w:p>
    <w:p>
      <w:pPr>
        <w:pStyle w:val="Heading2"/>
      </w:pPr>
      <w:r>
        <w:t>Behavioral Associates, New York, NY — Operations Manager</w:t>
      </w:r>
    </w:p>
    <w:p>
      <w:pPr>
        <w:pStyle w:val="Heading3"/>
      </w:pPr>
      <w:r>
        <w:t>JUNE 2023 - JULY 2024</w:t>
      </w:r>
    </w:p>
    <w:p>
      <w:pPr>
        <w:pStyle w:val="ListBullet"/>
      </w:pPr>
      <w: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t>Operations, Project Management, CRM, Data Analysis, Mailchimp, Google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