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Led digital ad strategy and reporting.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ROI Reporting,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