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15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второго этапа внешнего курса</w:t>
      </w:r>
    </w:p>
    <w:p>
      <w:pPr>
        <w:pStyle w:val="Subtitle"/>
      </w:pPr>
      <w:r>
        <w:t xml:space="preserve">Работа на сервере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второго этапа внешнего курса «Введение в Linux» и закрепление практических навыков работы с удалёнными серверами, передачей файлов, справочной информацией о программах, управлением процессами, многопоточными приложениями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второго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bookmarkEnd w:id="10"/>
    <w:bookmarkStart w:id="117" w:name="выполнение-второго-этапа"/>
    <w:p>
      <w:pPr>
        <w:pStyle w:val="Heading1"/>
      </w:pPr>
      <w:r>
        <w:t xml:space="preserve">3. Выполнение второго этапа</w:t>
      </w:r>
    </w:p>
    <w:bookmarkStart w:id="19" w:name="знакомство-с-сервером"/>
    <w:p>
      <w:pPr>
        <w:pStyle w:val="Heading2"/>
      </w:pPr>
      <w:r>
        <w:t xml:space="preserve">3.1 Знакомство с сервером</w:t>
      </w:r>
    </w:p>
    <w:p>
      <w:pPr>
        <w:pStyle w:val="FirstParagraph"/>
      </w:pPr>
      <w:r>
        <w:t xml:space="preserve">Указала, что удалённый сервер можно использовать для хранения общедоступных и конфиденциальных данных, хранения больших объёмов информации, а также для выполнения сложных вычислений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01"/>
          <w:p>
            <w:pPr>
              <w:pStyle w:val="Compact"/>
              <w:jc w:val="center"/>
            </w:pPr>
            <w:r>
              <w:drawing>
                <wp:inline>
                  <wp:extent cx="4267200" cy="17991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о назначении удалённого сервера</w:t>
            </w:r>
          </w:p>
          <w:bookmarkEnd w:id="14"/>
        </w:tc>
      </w:tr>
    </w:tbl>
    <w:p>
      <w:pPr>
        <w:pStyle w:val="BodyText"/>
      </w:pPr>
      <w:r>
        <w:t xml:space="preserve">В задании требовалось выбрать все подходящие варианты использования удалённого сервера. Были отмечены все перечисленные пункты, поскольку сервер действительно может применяться и для хранения данных, и для выполнения вычислительных задач.</w:t>
      </w:r>
    </w:p>
    <w:p>
      <w:pPr>
        <w:pStyle w:val="BodyText"/>
      </w:pPr>
      <w:r>
        <w:t xml:space="preserve">Указала, что без опаски по интернету можно пересылать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2"/>
          <w:p>
            <w:pPr>
              <w:pStyle w:val="Compact"/>
              <w:jc w:val="center"/>
            </w:pPr>
            <w:r>
              <w:drawing>
                <wp:inline>
                  <wp:extent cx="3733800" cy="1678873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8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ключа, который можно пересылать по интернету</w:t>
            </w:r>
          </w:p>
          <w:bookmarkEnd w:id="18"/>
        </w:tc>
      </w:tr>
    </w:tbl>
    <w:p>
      <w:pPr>
        <w:pStyle w:val="BodyText"/>
      </w:pPr>
      <w:r>
        <w:t xml:space="preserve">В задании нужно было определить, какой из ключей пары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можно передавать другим пользователям. Безопасно передавать именно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, так как закрытый ключ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должен оставаться только у владельца.</w:t>
      </w:r>
    </w:p>
    <w:bookmarkEnd w:id="19"/>
    <w:bookmarkStart w:id="32" w:name="обмен-файлами"/>
    <w:p>
      <w:pPr>
        <w:pStyle w:val="Heading2"/>
      </w:pPr>
      <w:r>
        <w:t xml:space="preserve">3.2 Обмен файлами</w:t>
      </w:r>
    </w:p>
    <w:p>
      <w:pPr>
        <w:pStyle w:val="FirstParagraph"/>
      </w:pPr>
      <w:r>
        <w:t xml:space="preserve">Указала, что для копирования каталога</w:t>
      </w:r>
      <w:r>
        <w:t xml:space="preserve"> </w:t>
      </w:r>
      <w:r>
        <w:rPr>
          <w:rStyle w:val="VerbatimChar"/>
        </w:rPr>
        <w:t xml:space="preserve">stepic</w:t>
      </w:r>
      <w:r>
        <w:t xml:space="preserve"> </w:t>
      </w:r>
      <w:r>
        <w:t xml:space="preserve">на сервер вместе со всем содержимым и подкаталогами подходит команда</w:t>
      </w:r>
      <w:r>
        <w:t xml:space="preserve"> </w:t>
      </w:r>
      <w:r>
        <w:rPr>
          <w:rStyle w:val="VerbatimChar"/>
        </w:rPr>
        <w:t xml:space="preserve">scp -r stepic username@server:~/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4267200" cy="181381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13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команды для копирования каталога на сервер</w:t>
            </w:r>
          </w:p>
          <w:bookmarkEnd w:id="23"/>
        </w:tc>
      </w:tr>
    </w:tbl>
    <w:p>
      <w:pPr>
        <w:pStyle w:val="BodyText"/>
      </w:pPr>
      <w:r>
        <w:t xml:space="preserve">В этом задании требовалось выбрать корректную команду для рекурсивного копирования каталога на сервер. Подходит именно</w:t>
      </w:r>
      <w:r>
        <w:t xml:space="preserve"> </w:t>
      </w:r>
      <w:r>
        <w:rPr>
          <w:rStyle w:val="VerbatimChar"/>
        </w:rPr>
        <w:t xml:space="preserve">scp -r</w:t>
      </w:r>
      <w:r>
        <w:t xml:space="preserve">, поскольку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отвечает за передачу директории вместе со всеми вложенными файлами и папками.</w:t>
      </w:r>
    </w:p>
    <w:p>
      <w:pPr>
        <w:pStyle w:val="BodyText"/>
      </w:pPr>
      <w:r>
        <w:t xml:space="preserve">Указала, что проблему при установке программы через</w:t>
      </w:r>
      <w:r>
        <w:t xml:space="preserve"> </w:t>
      </w:r>
      <w:r>
        <w:rPr>
          <w:rStyle w:val="VerbatimChar"/>
        </w:rPr>
        <w:t xml:space="preserve">sudo apt-get install program</w:t>
      </w:r>
      <w:r>
        <w:t xml:space="preserve"> </w:t>
      </w:r>
      <w:r>
        <w:t xml:space="preserve">могут устранить проверка интернет-соединения, его настройка при отсутствии и команда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4267200" cy="221483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4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действий при проблеме с установкой пакета</w:t>
            </w:r>
          </w:p>
          <w:bookmarkEnd w:id="27"/>
        </w:tc>
      </w:tr>
    </w:tbl>
    <w:p>
      <w:pPr>
        <w:pStyle w:val="BodyText"/>
      </w:pPr>
      <w:r>
        <w:t xml:space="preserve">Если пакет не удаётся найти или скачать, сначала нужно проверить наличие доступа к сети, затем при необходимости восстановить соединение и обновить сведения о пакетах при помощи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. Именно эти действия и были выбраны.</w:t>
      </w:r>
    </w:p>
    <w:p>
      <w:pPr>
        <w:pStyle w:val="BodyText"/>
      </w:pPr>
      <w:r>
        <w:t xml:space="preserve">Указала, что программу FileZilla можно использовать для просмотра содержимого каталогов на локальном компьютере и на сервере, а также для копирования файлов с сервера на компьютер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4267200" cy="192281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возможностей программы FileZilla</w:t>
            </w:r>
          </w:p>
          <w:bookmarkEnd w:id="31"/>
        </w:tc>
      </w:tr>
    </w:tbl>
    <w:p>
      <w:pPr>
        <w:pStyle w:val="BodyText"/>
      </w:pPr>
      <w:r>
        <w:t xml:space="preserve">В задании требовалось отметить функции FileZilla. Эта программа действительно предназначена для работы с файлами и каталогами на локальной и удалённой стороне, а также для передачи файлов между ними.</w:t>
      </w:r>
    </w:p>
    <w:bookmarkEnd w:id="32"/>
    <w:bookmarkStart w:id="49" w:name="запуск-приложений"/>
    <w:p>
      <w:pPr>
        <w:pStyle w:val="Heading2"/>
      </w:pPr>
      <w:r>
        <w:t xml:space="preserve">3.3 Запуск приложений</w:t>
      </w:r>
    </w:p>
    <w:p>
      <w:pPr>
        <w:pStyle w:val="FirstParagraph"/>
      </w:pPr>
      <w:r>
        <w:t xml:space="preserve">Указала, что при необходимости запуска на сервере программы, которой нужен экран, можно либо найти терминальную версию программы, либо настроить сервер на поддержку вывода графической информации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4267200" cy="183438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3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Выбор решений для запуска графической программы на сервере</w:t>
            </w:r>
          </w:p>
          <w:bookmarkEnd w:id="36"/>
        </w:tc>
      </w:tr>
    </w:tbl>
    <w:p>
      <w:pPr>
        <w:pStyle w:val="BodyText"/>
      </w:pPr>
      <w:r>
        <w:t xml:space="preserve">В задании рассматривалась ситуация, когда программа требует графический интерфейс. Наиболее разумные варианты — использовать консольную версию приложения или настроить вывод графики с удалённого сервера.</w:t>
      </w:r>
    </w:p>
    <w:p>
      <w:pPr>
        <w:pStyle w:val="BodyText"/>
      </w:pPr>
      <w:r>
        <w:t xml:space="preserve">Указала, что справочную информацию о программе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обычно можно получить с помощью команд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 program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4267200" cy="210985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09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Выбор способов получения справки о программе</w:t>
            </w:r>
          </w:p>
          <w:bookmarkEnd w:id="40"/>
        </w:tc>
      </w:tr>
    </w:tbl>
    <w:p>
      <w:pPr>
        <w:pStyle w:val="BodyText"/>
      </w:pPr>
      <w:r>
        <w:t xml:space="preserve">Для большинства программ в Linux краткая справка вызывается через параметр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а более полная документация —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Поэтому именно эти варианты были выбраны.</w:t>
      </w:r>
    </w:p>
    <w:p>
      <w:pPr>
        <w:pStyle w:val="BodyText"/>
      </w:pPr>
      <w:r>
        <w:t xml:space="preserve">Изучила справку по программе FastQC и указал, что на вход она может принимать форматы</w:t>
      </w:r>
      <w:r>
        <w:t xml:space="preserve"> </w:t>
      </w:r>
      <w:r>
        <w:rPr>
          <w:rStyle w:val="VerbatimChar"/>
        </w:rPr>
        <w:t xml:space="preserve">fastq</w:t>
      </w:r>
      <w:r>
        <w:t xml:space="preserve">,</w:t>
      </w:r>
      <w:r>
        <w:t xml:space="preserve"> </w:t>
      </w:r>
      <w:r>
        <w:rPr>
          <w:rStyle w:val="VerbatimChar"/>
        </w:rPr>
        <w:t xml:space="preserve">bam_mapped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bam</w:t>
      </w:r>
      <w:r>
        <w:t xml:space="preserve">,</w:t>
      </w:r>
      <w:r>
        <w:t xml:space="preserve"> </w:t>
      </w:r>
      <w:r>
        <w:rPr>
          <w:rStyle w:val="VerbatimChar"/>
        </w:rPr>
        <w:t xml:space="preserve">sam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4267200" cy="398741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8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Определение форматов входных данных FastQC</w:t>
            </w:r>
          </w:p>
          <w:bookmarkEnd w:id="44"/>
        </w:tc>
      </w:tr>
    </w:tbl>
    <w:p>
      <w:pPr>
        <w:pStyle w:val="BodyText"/>
      </w:pPr>
      <w:r>
        <w:t xml:space="preserve">В этом задании нужно было ознакомиться со справкой FastQC и определить поддерживаемые форматы данных. По результатам изучения были выбраны форматы, связанные с чтениями и выравниваниями, которые программа действительно умеет анализировать.</w:t>
      </w:r>
    </w:p>
    <w:p>
      <w:pPr>
        <w:pStyle w:val="BodyText"/>
      </w:pPr>
      <w:r>
        <w:t xml:space="preserve">Изучила справку по ClustalW и ввёл команду</w:t>
      </w:r>
      <w:r>
        <w:t xml:space="preserve"> </w:t>
      </w:r>
      <w:r>
        <w:rPr>
          <w:rStyle w:val="VerbatimChar"/>
        </w:rPr>
        <w:t xml:space="preserve">clustalw -align -infile=test.fasta</w:t>
      </w:r>
      <w:r>
        <w:t xml:space="preserve"> </w:t>
      </w:r>
      <w:r>
        <w:t xml:space="preserve">для выполнения множественного выравнивания файла</w:t>
      </w:r>
      <w:r>
        <w:t xml:space="preserve"> </w:t>
      </w:r>
      <w:r>
        <w:rPr>
          <w:rStyle w:val="VerbatimChar"/>
        </w:rPr>
        <w:t xml:space="preserve">test.fasta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4267200" cy="358708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8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Ввод команды запуска ClustalW для множественного выравнивания</w:t>
            </w:r>
          </w:p>
          <w:bookmarkEnd w:id="48"/>
        </w:tc>
      </w:tr>
    </w:tbl>
    <w:p>
      <w:pPr>
        <w:pStyle w:val="BodyText"/>
      </w:pPr>
      <w:r>
        <w:t xml:space="preserve">В задании требовалось не просто запустить программу, а указать минимально необходимую команду, которая явно задаёт выполнение множественного выравнивания. Для этого была использована опция</w:t>
      </w:r>
      <w:r>
        <w:t xml:space="preserve"> </w:t>
      </w:r>
      <w:r>
        <w:rPr>
          <w:rStyle w:val="VerbatimChar"/>
        </w:rPr>
        <w:t xml:space="preserve">-align</w:t>
      </w:r>
      <w:r>
        <w:t xml:space="preserve"> </w:t>
      </w:r>
      <w:r>
        <w:t xml:space="preserve">и указан входной файл через</w:t>
      </w:r>
      <w:r>
        <w:t xml:space="preserve"> </w:t>
      </w:r>
      <w:r>
        <w:rPr>
          <w:rStyle w:val="VerbatimChar"/>
        </w:rPr>
        <w:t xml:space="preserve">-infile</w:t>
      </w:r>
      <w:r>
        <w:t xml:space="preserve">.</w:t>
      </w:r>
    </w:p>
    <w:bookmarkEnd w:id="49"/>
    <w:bookmarkStart w:id="66" w:name="контроль-запускаемых-программ"/>
    <w:p>
      <w:pPr>
        <w:pStyle w:val="Heading2"/>
      </w:pPr>
      <w:r>
        <w:t xml:space="preserve">3.4 Контроль запускаемых программ</w:t>
      </w:r>
    </w:p>
    <w:p>
      <w:pPr>
        <w:pStyle w:val="FirstParagraph"/>
      </w:pPr>
      <w:r>
        <w:t xml:space="preserve">Указала, что после последовательности действий</w:t>
      </w:r>
      <w:r>
        <w:t xml:space="preserve"> </w:t>
      </w:r>
      <w:r>
        <w:rPr>
          <w:rStyle w:val="VerbatimChar"/>
        </w:rPr>
        <w:t xml:space="preserve">fg %1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</w:t>
      </w:r>
      <w:r>
        <w:t xml:space="preserve"> </w:t>
      </w:r>
      <w:r>
        <w:rPr>
          <w:rStyle w:val="VerbatimChar"/>
        </w:rPr>
        <w:t xml:space="preserve">fg %2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информация будет показана только о программах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10"/>
          <w:p>
            <w:pPr>
              <w:pStyle w:val="Compact"/>
              <w:jc w:val="center"/>
            </w:pPr>
            <w:r>
              <w:drawing>
                <wp:inline>
                  <wp:extent cx="4267200" cy="25882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8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ответа о результате выполнения команд fg, Ctrl+C, Ctrl+Z и jobs</w:t>
            </w:r>
          </w:p>
          <w:bookmarkEnd w:id="53"/>
        </w:tc>
      </w:tr>
    </w:tbl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первая программа завершается и больше не относится к списку заданий оболочки. Вторая после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оказывается приостановленной, а третья остаётся в фоне, поэтому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покажет только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.</w:t>
      </w:r>
    </w:p>
    <w:p>
      <w:pPr>
        <w:pStyle w:val="BodyText"/>
      </w:pPr>
      <w:r>
        <w:t xml:space="preserve">Указала, что идентификаторы процессов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различаются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1"/>
          <w:p>
            <w:pPr>
              <w:pStyle w:val="Compact"/>
              <w:jc w:val="center"/>
            </w:pPr>
            <w:r>
              <w:drawing>
                <wp:inline>
                  <wp:extent cx="4267200" cy="191476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ответа о различии идентификаторов в jobs, top и ps</w:t>
            </w:r>
          </w:p>
          <w:bookmarkEnd w:id="57"/>
        </w:tc>
      </w:tr>
    </w:tbl>
    <w:p>
      <w:pPr>
        <w:pStyle w:val="BodyText"/>
      </w:pPr>
      <w:r>
        <w:t xml:space="preserve">В задании сравнивались идентификаторы, которые показывают разные утилиты.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использует номера заданий оболочки, 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работают с идентификаторами процессов, поэтому значения не совпадают.</w:t>
      </w:r>
    </w:p>
    <w:p>
      <w:pPr>
        <w:pStyle w:val="BodyText"/>
      </w:pPr>
      <w:r>
        <w:t xml:space="preserve">Указала, что мгновенно завершить остановленный процесс можно командой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2"/>
          <w:p>
            <w:pPr>
              <w:pStyle w:val="Compact"/>
              <w:jc w:val="center"/>
            </w:pPr>
            <w:r>
              <w:drawing>
                <wp:inline>
                  <wp:extent cx="4267200" cy="166749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6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команды для немедленного завершения остановленного процесса</w:t>
            </w:r>
          </w:p>
          <w:bookmarkEnd w:id="61"/>
        </w:tc>
      </w:tr>
    </w:tbl>
    <w:p>
      <w:pPr>
        <w:pStyle w:val="BodyText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соответствует принудительному завершению процесса. Поэтому именно этот вариант был выбран как правильный.</w:t>
      </w:r>
    </w:p>
    <w:p>
      <w:pPr>
        <w:pStyle w:val="BodyText"/>
      </w:pPr>
      <w:r>
        <w:t xml:space="preserve">Указала, что использование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без опций по отношению к процессу, остановленному через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приведёт к тому, что процесс будет завершён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3"/>
          <w:p>
            <w:pPr>
              <w:pStyle w:val="Compact"/>
              <w:jc w:val="center"/>
            </w:pPr>
            <w:r>
              <w:drawing>
                <wp:inline>
                  <wp:extent cx="4267200" cy="178327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Выбор результата выполнения kill для остановленного процесса</w:t>
            </w:r>
          </w:p>
          <w:bookmarkEnd w:id="65"/>
        </w:tc>
      </w:tr>
    </w:tbl>
    <w:p>
      <w:pPr>
        <w:pStyle w:val="BodyText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 завершения. Даже если процесс был ранее остановлен, после получения такого сигнала он завершает работу.</w:t>
      </w:r>
    </w:p>
    <w:bookmarkEnd w:id="66"/>
    <w:bookmarkStart w:id="91" w:name="многопоточные-приложения"/>
    <w:p>
      <w:pPr>
        <w:pStyle w:val="Heading2"/>
      </w:pPr>
      <w:r>
        <w:t xml:space="preserve">3.5 Многопоточные приложения</w:t>
      </w:r>
    </w:p>
    <w:p>
      <w:pPr>
        <w:pStyle w:val="FirstParagraph"/>
      </w:pPr>
      <w:r>
        <w:t xml:space="preserve">Указала, что остановленное по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многопоточное приложение использует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4"/>
          <w:p>
            <w:pPr>
              <w:pStyle w:val="Compact"/>
              <w:jc w:val="center"/>
            </w:pPr>
            <w:r>
              <w:drawing>
                <wp:inline>
                  <wp:extent cx="4267200" cy="300243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0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ответа о загрузке CPU остановленным приложением</w:t>
            </w:r>
          </w:p>
          <w:bookmarkEnd w:id="70"/>
        </w:tc>
      </w:tr>
    </w:tbl>
    <w:p>
      <w:pPr>
        <w:pStyle w:val="BodyText"/>
      </w:pPr>
      <w:r>
        <w:t xml:space="preserve">После остановки процесса выполнение инструкций прекращается, поэтому процессорное время больше не расходуется. Именно поэтому был выбран ответ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.</w:t>
      </w:r>
    </w:p>
    <w:p>
      <w:pPr>
        <w:pStyle w:val="BodyText"/>
      </w:pPr>
      <w:r>
        <w:t xml:space="preserve">Указала, что остановленное многопоточное приложение продолжает занимать столько памяти, сколько потребляло в момент остановки 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5"/>
          <w:p>
            <w:pPr>
              <w:pStyle w:val="Compact"/>
              <w:jc w:val="center"/>
            </w:pPr>
            <w:r>
              <w:drawing>
                <wp:inline>
                  <wp:extent cx="4267200" cy="255116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51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ответа о памяти остановленного приложения</w:t>
            </w:r>
          </w:p>
          <w:bookmarkEnd w:id="74"/>
        </w:tc>
      </w:tr>
    </w:tbl>
    <w:p>
      <w:pPr>
        <w:pStyle w:val="BodyText"/>
      </w:pPr>
      <w:r>
        <w:t xml:space="preserve">Остановка процесса не освобождает уже занятую память автоматически. Пока процесс не завершён, его адресное пространство сохраняется, поэтому объём памяти остаётся тем же.</w:t>
      </w:r>
    </w:p>
    <w:p>
      <w:pPr>
        <w:pStyle w:val="BodyText"/>
      </w:pPr>
      <w:r>
        <w:t xml:space="preserve">Указала, что принудительно завершить один отдельный поток запущенного многопоточного приложения нельзя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6"/>
          <w:p>
            <w:pPr>
              <w:pStyle w:val="Compact"/>
              <w:jc w:val="center"/>
            </w:pPr>
            <w:r>
              <w:drawing>
                <wp:inline>
                  <wp:extent cx="4267200" cy="253583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3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ответа о завершении одного потока многопоточного приложения</w:t>
            </w:r>
          </w:p>
          <w:bookmarkEnd w:id="78"/>
        </w:tc>
      </w:tr>
    </w:tbl>
    <w:p>
      <w:pPr>
        <w:pStyle w:val="BodyText"/>
      </w:pPr>
      <w:r>
        <w:t xml:space="preserve">В задании рассматривалась обычная работа из командной строки Linux. Стандартными средствами вроде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управляют процессом целиком, а не отдельным потоком, поэтому был выбран вариант «Никак».</w:t>
      </w:r>
    </w:p>
    <w:p>
      <w:pPr>
        <w:pStyle w:val="BodyText"/>
      </w:pPr>
      <w:r>
        <w:t xml:space="preserve">Изучила справку по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и определил, что в несколько потоков можно выполнять только второй этап, то есть запуск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bowtie2-build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7"/>
          <w:p>
            <w:pPr>
              <w:pStyle w:val="Compact"/>
              <w:jc w:val="center"/>
            </w:pPr>
            <w:r>
              <w:drawing>
                <wp:inline>
                  <wp:extent cx="4267200" cy="217638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7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 этапа bowtie2, который можно выполнять в несколько потоков</w:t>
            </w:r>
          </w:p>
          <w:bookmarkEnd w:id="82"/>
        </w:tc>
      </w:tr>
    </w:tbl>
    <w:p>
      <w:pPr>
        <w:pStyle w:val="BodyText"/>
      </w:pPr>
      <w:r>
        <w:t xml:space="preserve">В этом задании нужно было посмотреть параметры двух подпроцессов и определить, где доступна многопоточность. Поддержка нескольких потоков есть именно у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.</w:t>
      </w:r>
    </w:p>
    <w:p>
      <w:pPr>
        <w:pStyle w:val="BodyText"/>
      </w:pPr>
      <w:r>
        <w:t xml:space="preserve">Выполнила практическое задание с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: запустил второй этап программы, перенаправила поток ошибок в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и проверил его содержимое в терминале (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8"/>
          <w:p>
            <w:pPr>
              <w:pStyle w:val="Compact"/>
              <w:jc w:val="center"/>
            </w:pPr>
            <w:r>
              <w:drawing>
                <wp:inline>
                  <wp:extent cx="4267200" cy="82923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829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запуска bowtie2 и просмотр файла align.err</w:t>
            </w:r>
          </w:p>
          <w:bookmarkEnd w:id="86"/>
        </w:tc>
      </w:tr>
    </w:tbl>
    <w:p>
      <w:pPr>
        <w:pStyle w:val="BodyText"/>
      </w:pPr>
      <w:r>
        <w:t xml:space="preserve">На скриншоте показана команда запуска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с перенаправлением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в отдельный файл и последующий вывод его содержимого через</w:t>
      </w:r>
      <w:r>
        <w:t xml:space="preserve"> </w:t>
      </w:r>
      <w:r>
        <w:rPr>
          <w:rStyle w:val="VerbatimChar"/>
        </w:rPr>
        <w:t xml:space="preserve">cat</w:t>
      </w:r>
      <w:r>
        <w:t xml:space="preserve">. Это подтверждает правильное использование перенаправления потоков.</w:t>
      </w:r>
    </w:p>
    <w:p>
      <w:pPr>
        <w:pStyle w:val="BodyText"/>
      </w:pPr>
      <w:r>
        <w:t xml:space="preserve">После выполнения задания загрузила полученный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на платформу, что было принято системой как верное решение (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9"/>
          <w:p>
            <w:pPr>
              <w:pStyle w:val="Compact"/>
              <w:jc w:val="center"/>
            </w:pPr>
            <w:r>
              <w:drawing>
                <wp:inline>
                  <wp:extent cx="4267200" cy="236578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65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Загрузка файла align.err на платформу</w:t>
            </w:r>
          </w:p>
          <w:bookmarkEnd w:id="90"/>
        </w:tc>
      </w:tr>
    </w:tbl>
    <w:p>
      <w:pPr>
        <w:pStyle w:val="BodyText"/>
      </w:pPr>
      <w:r>
        <w:t xml:space="preserve">В задании требовалось не только получить файл с выводом ошибок, но и загрузить его в форму проверки. Файл был успешно прикреплён и зачтён.</w:t>
      </w:r>
    </w:p>
    <w:bookmarkEnd w:id="91"/>
    <w:bookmarkStart w:id="116" w:name="менеджер-терминалов-tmux"/>
    <w:p>
      <w:pPr>
        <w:pStyle w:val="Heading2"/>
      </w:pPr>
      <w:r>
        <w:t xml:space="preserve">3.6 Менеджер терминалов tmux</w:t>
      </w:r>
    </w:p>
    <w:p>
      <w:pPr>
        <w:pStyle w:val="FirstParagraph"/>
      </w:pPr>
      <w:r>
        <w:t xml:space="preserve">Указала, что если открыть две вкладки терминала, остановить процесс в одной из них, перейти во вторую и выполнить</w:t>
      </w:r>
      <w:r>
        <w:t xml:space="preserve"> </w:t>
      </w:r>
      <w:r>
        <w:rPr>
          <w:rStyle w:val="VerbatimChar"/>
        </w:rPr>
        <w:t xml:space="preserve">fg</w:t>
      </w:r>
      <w:r>
        <w:t xml:space="preserve">, терминал сообщит, что нет процесса для запуска в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0"/>
          <w:p>
            <w:pPr>
              <w:pStyle w:val="Compact"/>
              <w:jc w:val="center"/>
            </w:pPr>
            <w:r>
              <w:drawing>
                <wp:inline>
                  <wp:extent cx="4267200" cy="1918822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Выбор ответа о команде fg в другой вкладке терминала</w:t>
            </w:r>
          </w:p>
          <w:bookmarkEnd w:id="95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работает только с заданиями текущей оболочки. Во второй вкладке это задание не существует, поэтому оболочка сообщает об отсутствии процесса для перевода на передний план.</w:t>
      </w:r>
    </w:p>
    <w:p>
      <w:pPr>
        <w:pStyle w:val="BodyText"/>
      </w:pPr>
      <w:r>
        <w:t xml:space="preserve">Указала, что если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осталась последняя открытая вкладка и в ней выполнить команду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завершит работу (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1"/>
          <w:p>
            <w:pPr>
              <w:pStyle w:val="Compact"/>
              <w:jc w:val="center"/>
            </w:pPr>
            <w:r>
              <w:drawing>
                <wp:inline>
                  <wp:extent cx="4267200" cy="1799846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Выбор ответа о завершении tmux при exit в последней вкладке</w:t>
            </w:r>
          </w:p>
          <w:bookmarkEnd w:id="99"/>
        </w:tc>
      </w:tr>
    </w:tbl>
    <w:p>
      <w:pPr>
        <w:pStyle w:val="BodyText"/>
      </w:pPr>
      <w:r>
        <w:t xml:space="preserve">Когда закрывается последняя активная вкладка или окно, завершается и сама сессия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Поэтому был выбран именно этот вариант.</w:t>
      </w:r>
    </w:p>
    <w:p>
      <w:pPr>
        <w:pStyle w:val="BodyText"/>
      </w:pPr>
      <w:r>
        <w:t xml:space="preserve">Указала, что если запустить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на сервере и затем закрыть локальный терминал, соединение с сервером прервётся, но работа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продолжится (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2"/>
          <w:p>
            <w:pPr>
              <w:pStyle w:val="Compact"/>
              <w:jc w:val="center"/>
            </w:pPr>
            <w:r>
              <w:drawing>
                <wp:inline>
                  <wp:extent cx="4267200" cy="2005386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5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Выбор ответа о поведении tmux после закрытия терминала</w:t>
            </w:r>
          </w:p>
          <w:bookmarkEnd w:id="103"/>
        </w:tc>
      </w:tr>
    </w:tbl>
    <w:p>
      <w:pPr>
        <w:pStyle w:val="BodyText"/>
      </w:pPr>
      <w:r>
        <w:t xml:space="preserve">Смысл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как раз в том, что сессия продолжает существовать на удалённой машине независимо от текущего подключения пользователя. После нового входа к ней можно снова присоединиться.</w:t>
      </w:r>
    </w:p>
    <w:p>
      <w:pPr>
        <w:pStyle w:val="BodyText"/>
      </w:pPr>
      <w:r>
        <w:t xml:space="preserve">Указала, что если запустить процесс в фоновом режиме во вкладке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а затем принудительно закрыть эту вкладку, то вкладка закроется вместе с запущенным в ней процессом (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3"/>
          <w:p>
            <w:pPr>
              <w:pStyle w:val="Compact"/>
              <w:jc w:val="center"/>
            </w:pPr>
            <w:r>
              <w:drawing>
                <wp:inline>
                  <wp:extent cx="4267200" cy="1794412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Выбор ответа о закрытии вкладки tmux с фоновым процессом</w:t>
            </w:r>
          </w:p>
          <w:bookmarkEnd w:id="107"/>
        </w:tc>
      </w:tr>
    </w:tbl>
    <w:p>
      <w:pPr>
        <w:pStyle w:val="BodyText"/>
      </w:pPr>
      <w:r>
        <w:t xml:space="preserve">В задании рассматривалось закрытие окна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При закрытии окна завершаются и связанные с ним процессы, если для них не был предусмотрен иной способ продолжения работы.</w:t>
      </w:r>
    </w:p>
    <w:p>
      <w:pPr>
        <w:pStyle w:val="BodyText"/>
      </w:pPr>
      <w:r>
        <w:t xml:space="preserve">Изучила команды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и указал, что за переименование текущей вкладки отвечает сочетание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4"/>
          <w:p>
            <w:pPr>
              <w:pStyle w:val="Compact"/>
              <w:jc w:val="center"/>
            </w:pPr>
            <w:r>
              <w:drawing>
                <wp:inline>
                  <wp:extent cx="4267200" cy="218633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8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Выбор команды tmux для переименования вкладки</w:t>
            </w:r>
          </w:p>
          <w:bookmarkEnd w:id="111"/>
        </w:tc>
      </w:tr>
    </w:tbl>
    <w:p>
      <w:pPr>
        <w:pStyle w:val="BodyText"/>
      </w:pPr>
      <w:r>
        <w:t xml:space="preserve">Это стандартное сочетание клавиш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для изменения имени текущего окна, поэтому был выбран вариант с запятой.</w:t>
      </w:r>
    </w:p>
    <w:p>
      <w:pPr>
        <w:pStyle w:val="BodyText"/>
      </w:pPr>
      <w:r>
        <w:t xml:space="preserve">При самостоятельном изучении возможностей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отметила верные утверждения о разделении вкладок: можно закрывать одну из частей комбинацией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x</w:t>
      </w:r>
      <w:r>
        <w:t xml:space="preserve">; можно делить окно несколько раз; команды разделения действуют только в текущей вкладке; при дополнительном вертикальном делении уже разделённой горизонтально вкладки получается три области (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5"/>
          <w:p>
            <w:pPr>
              <w:pStyle w:val="Compact"/>
              <w:jc w:val="center"/>
            </w:pPr>
            <w:r>
              <w:drawing>
                <wp:inline>
                  <wp:extent cx="4267200" cy="3509123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0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Самостоятельное задание по разделению окон в tmux</w:t>
            </w:r>
          </w:p>
          <w:bookmarkEnd w:id="115"/>
        </w:tc>
      </w:tr>
    </w:tbl>
    <w:p>
      <w:pPr>
        <w:pStyle w:val="BodyText"/>
      </w:pPr>
      <w:r>
        <w:t xml:space="preserve">В этом задании нужно было самостоятельно проверить работу разделения окон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 результатам были отмечены утверждения, соответствующие фактическому поведению программы при разбиении и закрытии панелей.</w:t>
      </w:r>
    </w:p>
    <w:bookmarkEnd w:id="116"/>
    <w:bookmarkEnd w:id="117"/>
    <w:bookmarkStart w:id="11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внешнего курса были изучены и закреплены навыки работы с удалёнными серверами, SSH-ключами, передачей файлов, получением справочной информации о программах, управлением процессами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Также были рассмотрены особенности многопоточных приложений и выполнено практическое задание с программой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включающее перенаправление потоков вывода и загрузку результата на платформу. Полученные знания позволяют увереннее работать в Linux-среде как локально, так и на удалённых серверах.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15" Target="media/rId15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второго этапа внешнего курса</dc:title>
  <dc:creator>Лопатченко Полина Андреевна</dc:creator>
  <dc:language>ru-RU</dc:language>
  <cp:keywords/>
  <dcterms:created xsi:type="dcterms:W3CDTF">2026-05-13T09:53:40Z</dcterms:created>
  <dcterms:modified xsi:type="dcterms:W3CDTF">2026-05-13T09:53:40Z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Работа на сервере</vt:lpwstr>
  </property>
  <property fmtid="{D5CDD505-2E9C-101B-9397-08002B2CF9AE}" pid="17" name="toc-title">
    <vt:lpwstr>Содержание</vt:lpwstr>
  </property>
</Properties>
</file>