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6CFF5" w14:textId="77777777" w:rsidR="00E46727" w:rsidRPr="004E52F5" w:rsidRDefault="00E46727" w:rsidP="00E46727">
      <w:pPr>
        <w:spacing w:before="240" w:after="240" w:line="360" w:lineRule="auto"/>
        <w:jc w:val="center"/>
        <w:rPr>
          <w:rFonts w:cs="Arial"/>
          <w:b/>
          <w:lang w:val="es-SV"/>
        </w:rPr>
      </w:pPr>
      <w:r w:rsidRPr="004E52F5">
        <w:rPr>
          <w:rFonts w:cs="Arial"/>
          <w:noProof/>
        </w:rPr>
        <w:drawing>
          <wp:anchor distT="0" distB="0" distL="114300" distR="114300" simplePos="0" relativeHeight="251660288" behindDoc="1" locked="0" layoutInCell="1" allowOverlap="1" wp14:anchorId="5ECCA19C" wp14:editId="6B60B51C">
            <wp:simplePos x="0" y="0"/>
            <wp:positionH relativeFrom="column">
              <wp:posOffset>4800600</wp:posOffset>
            </wp:positionH>
            <wp:positionV relativeFrom="paragraph">
              <wp:posOffset>57150</wp:posOffset>
            </wp:positionV>
            <wp:extent cx="1057275" cy="1057275"/>
            <wp:effectExtent l="0" t="0" r="9525" b="9525"/>
            <wp:wrapTight wrapText="bothSides">
              <wp:wrapPolygon edited="0">
                <wp:start x="0" y="0"/>
                <wp:lineTo x="0" y="21405"/>
                <wp:lineTo x="21405" y="21405"/>
                <wp:lineTo x="21405" y="0"/>
                <wp:lineTo x="0" y="0"/>
              </wp:wrapPolygon>
            </wp:wrapTight>
            <wp:docPr id="2" name="Imagen 2" descr="Facultad de Ciencias Económicas - UES | San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acultad de Ciencias Económicas - UES | San Salvad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57275" cy="1057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52F5">
        <w:rPr>
          <w:rFonts w:cs="Arial"/>
          <w:noProof/>
        </w:rPr>
        <w:drawing>
          <wp:anchor distT="0" distB="0" distL="114300" distR="114300" simplePos="0" relativeHeight="251659264" behindDoc="1" locked="0" layoutInCell="1" allowOverlap="1" wp14:anchorId="7810F266" wp14:editId="3D301D61">
            <wp:simplePos x="0" y="0"/>
            <wp:positionH relativeFrom="margin">
              <wp:align>left</wp:align>
            </wp:positionH>
            <wp:positionV relativeFrom="paragraph">
              <wp:posOffset>0</wp:posOffset>
            </wp:positionV>
            <wp:extent cx="953135" cy="1190625"/>
            <wp:effectExtent l="0" t="0" r="0" b="9525"/>
            <wp:wrapTight wrapText="bothSides">
              <wp:wrapPolygon edited="0">
                <wp:start x="0" y="0"/>
                <wp:lineTo x="0" y="21427"/>
                <wp:lineTo x="21154" y="21427"/>
                <wp:lineTo x="21154" y="0"/>
                <wp:lineTo x="0" y="0"/>
              </wp:wrapPolygon>
            </wp:wrapTight>
            <wp:docPr id="8" name="Imagen 8" descr="Archivo:Logo UES.jp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Logo UES.jpg - Wikipedia, la enciclopedia lib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53135" cy="1190625"/>
                    </a:xfrm>
                    <a:prstGeom prst="rect">
                      <a:avLst/>
                    </a:prstGeom>
                    <a:noFill/>
                    <a:ln>
                      <a:noFill/>
                    </a:ln>
                  </pic:spPr>
                </pic:pic>
              </a:graphicData>
            </a:graphic>
          </wp:anchor>
        </w:drawing>
      </w:r>
      <w:r w:rsidRPr="004E52F5">
        <w:rPr>
          <w:rFonts w:cs="Arial"/>
          <w:b/>
          <w:lang w:val="es-SV"/>
        </w:rPr>
        <w:t>Universidad de El Salvador</w:t>
      </w:r>
    </w:p>
    <w:p w14:paraId="29B4E63D" w14:textId="77777777" w:rsidR="00E46727" w:rsidRPr="004E52F5" w:rsidRDefault="00E46727" w:rsidP="00E46727">
      <w:pPr>
        <w:spacing w:before="240" w:after="240" w:line="360" w:lineRule="auto"/>
        <w:jc w:val="center"/>
        <w:rPr>
          <w:rFonts w:cs="Arial"/>
          <w:b/>
          <w:lang w:val="es-SV"/>
        </w:rPr>
      </w:pPr>
      <w:r w:rsidRPr="004E52F5">
        <w:rPr>
          <w:rFonts w:cs="Arial"/>
          <w:b/>
          <w:lang w:val="es-SV"/>
        </w:rPr>
        <w:t>Facultad de Ciencias Económicas</w:t>
      </w:r>
    </w:p>
    <w:p w14:paraId="1BF16BEF" w14:textId="77777777" w:rsidR="00E46727" w:rsidRPr="004E52F5" w:rsidRDefault="00E46727" w:rsidP="00E46727">
      <w:pPr>
        <w:spacing w:before="240" w:after="240" w:line="360" w:lineRule="auto"/>
        <w:jc w:val="center"/>
        <w:rPr>
          <w:rFonts w:cs="Arial"/>
          <w:b/>
          <w:lang w:val="es-SV"/>
        </w:rPr>
      </w:pPr>
      <w:r w:rsidRPr="004E52F5">
        <w:rPr>
          <w:rFonts w:cs="Arial"/>
          <w:b/>
          <w:lang w:val="es-SV"/>
        </w:rPr>
        <w:t>Escuela de Administración de Empresas</w:t>
      </w:r>
    </w:p>
    <w:p w14:paraId="17C66507" w14:textId="77777777" w:rsidR="00E46727" w:rsidRPr="004E52F5" w:rsidRDefault="00E46727" w:rsidP="00E46727">
      <w:pPr>
        <w:spacing w:before="240" w:after="240" w:line="360" w:lineRule="auto"/>
        <w:jc w:val="center"/>
        <w:rPr>
          <w:rFonts w:cs="Arial"/>
          <w:b/>
          <w:lang w:val="es-SV"/>
        </w:rPr>
      </w:pPr>
      <w:r w:rsidRPr="004E52F5">
        <w:rPr>
          <w:rFonts w:cs="Arial"/>
          <w:b/>
          <w:lang w:val="es-SV"/>
        </w:rPr>
        <w:t>Docente:</w:t>
      </w:r>
    </w:p>
    <w:p w14:paraId="311E6FAC" w14:textId="77777777" w:rsidR="00E46727" w:rsidRPr="004E52F5" w:rsidRDefault="00E46727" w:rsidP="00E46727">
      <w:pPr>
        <w:spacing w:before="240" w:after="240" w:line="360" w:lineRule="auto"/>
        <w:jc w:val="center"/>
        <w:rPr>
          <w:rFonts w:cs="Arial"/>
          <w:lang w:val="es-SV"/>
        </w:rPr>
      </w:pPr>
      <w:r w:rsidRPr="004E52F5">
        <w:rPr>
          <w:rFonts w:cs="Arial"/>
          <w:lang w:val="es-SV"/>
        </w:rPr>
        <w:t xml:space="preserve">Lic. </w:t>
      </w:r>
      <w:r>
        <w:rPr>
          <w:rFonts w:cs="Arial"/>
          <w:lang w:val="es-SV"/>
        </w:rPr>
        <w:t xml:space="preserve">Vitelio Henríquez </w:t>
      </w:r>
      <w:proofErr w:type="spellStart"/>
      <w:r>
        <w:rPr>
          <w:rFonts w:cs="Arial"/>
          <w:lang w:val="es-SV"/>
        </w:rPr>
        <w:t>Menjivar</w:t>
      </w:r>
      <w:proofErr w:type="spellEnd"/>
    </w:p>
    <w:p w14:paraId="77AEE0D0" w14:textId="77777777" w:rsidR="00E46727" w:rsidRPr="004E52F5" w:rsidRDefault="00E46727" w:rsidP="00E46727">
      <w:pPr>
        <w:spacing w:before="240" w:after="240" w:line="360" w:lineRule="auto"/>
        <w:jc w:val="center"/>
        <w:rPr>
          <w:rFonts w:cs="Arial"/>
          <w:b/>
          <w:lang w:val="es-SV"/>
        </w:rPr>
      </w:pPr>
      <w:r w:rsidRPr="004E52F5">
        <w:rPr>
          <w:rFonts w:cs="Arial"/>
          <w:b/>
          <w:lang w:val="es-SV"/>
        </w:rPr>
        <w:t>Asignatura:</w:t>
      </w:r>
    </w:p>
    <w:p w14:paraId="0AF388C5" w14:textId="77777777" w:rsidR="00E46727" w:rsidRPr="004E52F5" w:rsidRDefault="00E46727" w:rsidP="00E46727">
      <w:pPr>
        <w:spacing w:before="240" w:after="240" w:line="360" w:lineRule="auto"/>
        <w:jc w:val="center"/>
        <w:rPr>
          <w:rFonts w:cs="Arial"/>
          <w:lang w:val="es-SV"/>
        </w:rPr>
      </w:pPr>
      <w:r>
        <w:rPr>
          <w:rFonts w:cs="Arial"/>
          <w:lang w:val="es-SV"/>
        </w:rPr>
        <w:t>Ética y Desarrollo Profesional</w:t>
      </w:r>
    </w:p>
    <w:p w14:paraId="3BD2B520" w14:textId="77777777" w:rsidR="00E46727" w:rsidRDefault="00E46727" w:rsidP="00E46727">
      <w:pPr>
        <w:spacing w:before="240" w:after="240" w:line="360" w:lineRule="auto"/>
        <w:jc w:val="center"/>
        <w:rPr>
          <w:rFonts w:cs="Arial"/>
          <w:b/>
          <w:lang w:val="es-SV"/>
        </w:rPr>
      </w:pPr>
      <w:r w:rsidRPr="004E52F5">
        <w:rPr>
          <w:rFonts w:cs="Arial"/>
          <w:b/>
          <w:lang w:val="es-SV"/>
        </w:rPr>
        <w:t>Tema:</w:t>
      </w:r>
    </w:p>
    <w:p w14:paraId="1D7B5203" w14:textId="77777777" w:rsidR="00E46727" w:rsidRPr="00E46727" w:rsidRDefault="00E46727" w:rsidP="00E46727">
      <w:pPr>
        <w:spacing w:before="240" w:after="240" w:line="360" w:lineRule="auto"/>
        <w:jc w:val="center"/>
        <w:rPr>
          <w:rFonts w:cs="Arial"/>
          <w:lang w:val="es-SV"/>
        </w:rPr>
      </w:pPr>
      <w:r w:rsidRPr="00E46727">
        <w:rPr>
          <w:rFonts w:cs="Arial"/>
          <w:lang w:val="es-SV"/>
        </w:rPr>
        <w:t>“Análisis de la aplicación de la teoría del debido cuidado en los supermercados del municipio de San Salvador, durante el segundo semestre de 2026, y propuesta de un protocolo de debido cuidado hacia el consumidor”</w:t>
      </w:r>
    </w:p>
    <w:p w14:paraId="430FEF28" w14:textId="77777777" w:rsidR="00E46727" w:rsidRPr="00952AED" w:rsidRDefault="00E46727" w:rsidP="00E46727">
      <w:pPr>
        <w:spacing w:before="240" w:after="240" w:line="360" w:lineRule="auto"/>
        <w:jc w:val="center"/>
        <w:rPr>
          <w:rFonts w:cs="Arial"/>
          <w:b/>
          <w:lang w:val="es-SV"/>
        </w:rPr>
      </w:pPr>
      <w:r w:rsidRPr="00952AED">
        <w:rPr>
          <w:rFonts w:cs="Arial"/>
          <w:b/>
          <w:lang w:val="es-SV"/>
        </w:rPr>
        <w:t xml:space="preserve">Grupo </w:t>
      </w:r>
      <w:r w:rsidR="00506C7D">
        <w:rPr>
          <w:rFonts w:cs="Arial"/>
          <w:b/>
          <w:lang w:val="es-SV"/>
        </w:rPr>
        <w:t>de trabajo</w:t>
      </w:r>
      <w:r w:rsidRPr="00952AED">
        <w:rPr>
          <w:rFonts w:cs="Arial"/>
          <w:b/>
          <w:lang w:val="es-SV"/>
        </w:rPr>
        <w:t>:</w:t>
      </w:r>
    </w:p>
    <w:p w14:paraId="5556AC91" w14:textId="77777777" w:rsidR="00E46727" w:rsidRPr="00427AAC" w:rsidRDefault="00E46727" w:rsidP="00E46727">
      <w:pPr>
        <w:spacing w:before="240" w:after="240" w:line="360" w:lineRule="auto"/>
        <w:jc w:val="center"/>
        <w:rPr>
          <w:rFonts w:cs="Arial"/>
          <w:lang w:val="es-SV"/>
        </w:rPr>
      </w:pPr>
      <w:r>
        <w:rPr>
          <w:rFonts w:cs="Arial"/>
          <w:lang w:val="es-SV"/>
        </w:rPr>
        <w:t>3</w:t>
      </w:r>
      <w:r w:rsidR="00506C7D">
        <w:rPr>
          <w:rFonts w:cs="Arial"/>
          <w:lang w:val="es-SV"/>
        </w:rPr>
        <w:t>-2</w:t>
      </w:r>
    </w:p>
    <w:p w14:paraId="79272B1C" w14:textId="77777777" w:rsidR="00E46727" w:rsidRPr="00427AAC" w:rsidRDefault="00E46727" w:rsidP="00E46727">
      <w:pPr>
        <w:spacing w:before="240" w:after="240" w:line="360" w:lineRule="auto"/>
        <w:jc w:val="center"/>
        <w:rPr>
          <w:rFonts w:cs="Arial"/>
          <w:b/>
          <w:lang w:val="es-SV"/>
        </w:rPr>
      </w:pPr>
      <w:r w:rsidRPr="00427AAC">
        <w:rPr>
          <w:rFonts w:cs="Arial"/>
          <w:b/>
          <w:lang w:val="es-SV"/>
        </w:rPr>
        <w:t>Presentado por:</w:t>
      </w:r>
    </w:p>
    <w:p w14:paraId="6EADDBB6" w14:textId="77777777" w:rsidR="00E46727" w:rsidRPr="0039362E" w:rsidRDefault="00E46727" w:rsidP="00E46727">
      <w:pPr>
        <w:jc w:val="left"/>
        <w:rPr>
          <w:rFonts w:asciiTheme="minorHAnsi" w:hAnsiTheme="minorHAnsi"/>
          <w:sz w:val="22"/>
          <w:lang w:val="es-SV"/>
        </w:rPr>
      </w:pPr>
    </w:p>
    <w:tbl>
      <w:tblPr>
        <w:tblW w:w="9406" w:type="dxa"/>
        <w:jc w:val="center"/>
        <w:tblLook w:val="04A0" w:firstRow="1" w:lastRow="0" w:firstColumn="1" w:lastColumn="0" w:noHBand="0" w:noVBand="1"/>
      </w:tblPr>
      <w:tblGrid>
        <w:gridCol w:w="1249"/>
        <w:gridCol w:w="4183"/>
        <w:gridCol w:w="2591"/>
        <w:gridCol w:w="1383"/>
      </w:tblGrid>
      <w:tr w:rsidR="00E46727" w:rsidRPr="00427AAC" w14:paraId="3A56838A" w14:textId="77777777" w:rsidTr="00CA63A1">
        <w:trPr>
          <w:trHeight w:val="353"/>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D2CFC7"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Carnet</w:t>
            </w:r>
          </w:p>
        </w:tc>
        <w:tc>
          <w:tcPr>
            <w:tcW w:w="0" w:type="auto"/>
            <w:tcBorders>
              <w:top w:val="single" w:sz="4" w:space="0" w:color="auto"/>
              <w:left w:val="nil"/>
              <w:bottom w:val="single" w:sz="4" w:space="0" w:color="auto"/>
              <w:right w:val="single" w:sz="4" w:space="0" w:color="auto"/>
            </w:tcBorders>
            <w:noWrap/>
            <w:vAlign w:val="bottom"/>
            <w:hideMark/>
          </w:tcPr>
          <w:p w14:paraId="1879C61C"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Nombres</w:t>
            </w:r>
          </w:p>
        </w:tc>
        <w:tc>
          <w:tcPr>
            <w:tcW w:w="0" w:type="auto"/>
            <w:tcBorders>
              <w:top w:val="single" w:sz="4" w:space="0" w:color="auto"/>
              <w:left w:val="nil"/>
              <w:bottom w:val="single" w:sz="4" w:space="0" w:color="auto"/>
              <w:right w:val="single" w:sz="4" w:space="0" w:color="auto"/>
            </w:tcBorders>
            <w:noWrap/>
            <w:vAlign w:val="bottom"/>
            <w:hideMark/>
          </w:tcPr>
          <w:p w14:paraId="12B1D839"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Correo</w:t>
            </w:r>
          </w:p>
        </w:tc>
        <w:tc>
          <w:tcPr>
            <w:tcW w:w="0" w:type="auto"/>
            <w:tcBorders>
              <w:top w:val="single" w:sz="4" w:space="0" w:color="auto"/>
              <w:left w:val="nil"/>
              <w:bottom w:val="single" w:sz="4" w:space="0" w:color="auto"/>
              <w:right w:val="single" w:sz="4" w:space="0" w:color="auto"/>
            </w:tcBorders>
            <w:noWrap/>
            <w:vAlign w:val="bottom"/>
            <w:hideMark/>
          </w:tcPr>
          <w:p w14:paraId="4BC0B116"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Telefono</w:t>
            </w:r>
          </w:p>
        </w:tc>
      </w:tr>
      <w:tr w:rsidR="00E46727" w:rsidRPr="00427AAC" w14:paraId="0E92F856"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24012A37"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Carnet 1</w:t>
            </w:r>
          </w:p>
        </w:tc>
        <w:tc>
          <w:tcPr>
            <w:tcW w:w="0" w:type="auto"/>
            <w:tcBorders>
              <w:top w:val="nil"/>
              <w:left w:val="nil"/>
              <w:bottom w:val="single" w:sz="4" w:space="0" w:color="auto"/>
              <w:right w:val="single" w:sz="4" w:space="0" w:color="auto"/>
            </w:tcBorders>
            <w:noWrap/>
            <w:vAlign w:val="bottom"/>
            <w:hideMark/>
          </w:tcPr>
          <w:p w14:paraId="5BBD34B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Nombre del integrante 1</w:t>
            </w:r>
          </w:p>
        </w:tc>
        <w:tc>
          <w:tcPr>
            <w:tcW w:w="0" w:type="auto"/>
            <w:tcBorders>
              <w:top w:val="nil"/>
              <w:left w:val="nil"/>
              <w:bottom w:val="single" w:sz="4" w:space="0" w:color="auto"/>
              <w:right w:val="single" w:sz="4" w:space="0" w:color="auto"/>
            </w:tcBorders>
            <w:noWrap/>
            <w:vAlign w:val="bottom"/>
            <w:hideMark/>
          </w:tcPr>
          <w:p w14:paraId="049CBEFB" w14:textId="77777777" w:rsidR="00E46727" w:rsidRPr="00427AAC" w:rsidRDefault="00E46727" w:rsidP="00CA63A1">
            <w:pPr>
              <w:spacing w:after="0" w:line="360" w:lineRule="auto"/>
              <w:jc w:val="left"/>
              <w:rPr>
                <w:rFonts w:eastAsia="Times New Roman" w:cs="Arial"/>
                <w:color w:val="000000"/>
                <w:szCs w:val="24"/>
              </w:rPr>
            </w:pPr>
            <w:hyperlink r:id="rId10" w:history="1">
              <w:r w:rsidRPr="00427AAC">
                <w:rPr>
                  <w:rFonts w:eastAsia="Times New Roman" w:cs="Arial"/>
                  <w:color w:val="000000"/>
                  <w:szCs w:val="24"/>
                </w:rPr>
                <w:t>correo1@ues.edu.sv</w:t>
              </w:r>
            </w:hyperlink>
          </w:p>
        </w:tc>
        <w:tc>
          <w:tcPr>
            <w:tcW w:w="0" w:type="auto"/>
            <w:tcBorders>
              <w:top w:val="nil"/>
              <w:left w:val="nil"/>
              <w:bottom w:val="single" w:sz="4" w:space="0" w:color="auto"/>
              <w:right w:val="single" w:sz="4" w:space="0" w:color="auto"/>
            </w:tcBorders>
            <w:noWrap/>
            <w:vAlign w:val="bottom"/>
            <w:hideMark/>
          </w:tcPr>
          <w:p w14:paraId="0C575CE2"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0000-0000</w:t>
            </w:r>
          </w:p>
        </w:tc>
      </w:tr>
      <w:tr w:rsidR="00E46727" w:rsidRPr="00427AAC" w14:paraId="704B1BA4"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374DB17E"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Carnet 2</w:t>
            </w:r>
          </w:p>
        </w:tc>
        <w:tc>
          <w:tcPr>
            <w:tcW w:w="0" w:type="auto"/>
            <w:tcBorders>
              <w:top w:val="nil"/>
              <w:left w:val="nil"/>
              <w:bottom w:val="single" w:sz="4" w:space="0" w:color="auto"/>
              <w:right w:val="single" w:sz="4" w:space="0" w:color="auto"/>
            </w:tcBorders>
            <w:noWrap/>
            <w:vAlign w:val="bottom"/>
            <w:hideMark/>
          </w:tcPr>
          <w:p w14:paraId="3A9EF5B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Nombre del integrante 2</w:t>
            </w:r>
          </w:p>
        </w:tc>
        <w:tc>
          <w:tcPr>
            <w:tcW w:w="0" w:type="auto"/>
            <w:tcBorders>
              <w:top w:val="nil"/>
              <w:left w:val="nil"/>
              <w:bottom w:val="single" w:sz="4" w:space="0" w:color="auto"/>
              <w:right w:val="single" w:sz="4" w:space="0" w:color="auto"/>
            </w:tcBorders>
            <w:noWrap/>
            <w:vAlign w:val="bottom"/>
            <w:hideMark/>
          </w:tcPr>
          <w:p w14:paraId="7F45E14B" w14:textId="77777777" w:rsidR="00E46727" w:rsidRPr="00427AAC" w:rsidRDefault="00E46727" w:rsidP="00CA63A1">
            <w:pPr>
              <w:spacing w:after="0" w:line="360" w:lineRule="auto"/>
              <w:jc w:val="left"/>
              <w:rPr>
                <w:rFonts w:eastAsia="Times New Roman" w:cs="Arial"/>
                <w:color w:val="000000"/>
                <w:szCs w:val="24"/>
              </w:rPr>
            </w:pPr>
            <w:hyperlink r:id="rId11" w:history="1">
              <w:r w:rsidRPr="00427AAC">
                <w:rPr>
                  <w:rFonts w:eastAsia="Times New Roman" w:cs="Arial"/>
                  <w:color w:val="000000"/>
                  <w:szCs w:val="24"/>
                </w:rPr>
                <w:t>correo2@ues.edu.sv</w:t>
              </w:r>
            </w:hyperlink>
          </w:p>
        </w:tc>
        <w:tc>
          <w:tcPr>
            <w:tcW w:w="0" w:type="auto"/>
            <w:tcBorders>
              <w:top w:val="nil"/>
              <w:left w:val="nil"/>
              <w:bottom w:val="single" w:sz="4" w:space="0" w:color="auto"/>
              <w:right w:val="single" w:sz="4" w:space="0" w:color="auto"/>
            </w:tcBorders>
            <w:noWrap/>
            <w:vAlign w:val="bottom"/>
            <w:hideMark/>
          </w:tcPr>
          <w:p w14:paraId="36E0FCB2"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0000-0000</w:t>
            </w:r>
          </w:p>
        </w:tc>
      </w:tr>
      <w:tr w:rsidR="00E46727" w:rsidRPr="00427AAC" w14:paraId="49DCB504"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0C7060C3"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Carnet 3</w:t>
            </w:r>
          </w:p>
        </w:tc>
        <w:tc>
          <w:tcPr>
            <w:tcW w:w="0" w:type="auto"/>
            <w:tcBorders>
              <w:top w:val="nil"/>
              <w:left w:val="nil"/>
              <w:bottom w:val="single" w:sz="4" w:space="0" w:color="auto"/>
              <w:right w:val="single" w:sz="4" w:space="0" w:color="auto"/>
            </w:tcBorders>
            <w:noWrap/>
            <w:vAlign w:val="bottom"/>
            <w:hideMark/>
          </w:tcPr>
          <w:p w14:paraId="4E3CC7D2"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Nombre del integrante 3</w:t>
            </w:r>
          </w:p>
        </w:tc>
        <w:tc>
          <w:tcPr>
            <w:tcW w:w="0" w:type="auto"/>
            <w:tcBorders>
              <w:top w:val="nil"/>
              <w:left w:val="nil"/>
              <w:bottom w:val="single" w:sz="4" w:space="0" w:color="auto"/>
              <w:right w:val="single" w:sz="4" w:space="0" w:color="auto"/>
            </w:tcBorders>
            <w:noWrap/>
            <w:vAlign w:val="bottom"/>
            <w:hideMark/>
          </w:tcPr>
          <w:p w14:paraId="0CCA98DC" w14:textId="77777777" w:rsidR="00E46727" w:rsidRPr="00427AAC" w:rsidRDefault="00E46727" w:rsidP="00CA63A1">
            <w:pPr>
              <w:spacing w:after="0" w:line="360" w:lineRule="auto"/>
              <w:jc w:val="left"/>
              <w:rPr>
                <w:rFonts w:eastAsia="Times New Roman" w:cs="Arial"/>
                <w:color w:val="000000"/>
                <w:szCs w:val="24"/>
              </w:rPr>
            </w:pPr>
            <w:hyperlink r:id="rId12" w:history="1">
              <w:r w:rsidRPr="00427AAC">
                <w:rPr>
                  <w:rFonts w:eastAsia="Times New Roman" w:cs="Arial"/>
                  <w:color w:val="000000"/>
                  <w:szCs w:val="24"/>
                </w:rPr>
                <w:t>correo3@ues.edu.sv</w:t>
              </w:r>
            </w:hyperlink>
          </w:p>
        </w:tc>
        <w:tc>
          <w:tcPr>
            <w:tcW w:w="0" w:type="auto"/>
            <w:tcBorders>
              <w:top w:val="nil"/>
              <w:left w:val="nil"/>
              <w:bottom w:val="single" w:sz="4" w:space="0" w:color="auto"/>
              <w:right w:val="single" w:sz="4" w:space="0" w:color="auto"/>
            </w:tcBorders>
            <w:noWrap/>
            <w:vAlign w:val="bottom"/>
            <w:hideMark/>
          </w:tcPr>
          <w:p w14:paraId="5356F408"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0000-0000</w:t>
            </w:r>
          </w:p>
        </w:tc>
      </w:tr>
      <w:tr w:rsidR="00E46727" w:rsidRPr="00427AAC" w14:paraId="100EBF80"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331939B0"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Carnet 4</w:t>
            </w:r>
          </w:p>
        </w:tc>
        <w:tc>
          <w:tcPr>
            <w:tcW w:w="0" w:type="auto"/>
            <w:tcBorders>
              <w:top w:val="nil"/>
              <w:left w:val="nil"/>
              <w:bottom w:val="single" w:sz="4" w:space="0" w:color="auto"/>
              <w:right w:val="single" w:sz="4" w:space="0" w:color="auto"/>
            </w:tcBorders>
            <w:noWrap/>
            <w:vAlign w:val="bottom"/>
            <w:hideMark/>
          </w:tcPr>
          <w:p w14:paraId="69C6E99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Nombre del integrante 4</w:t>
            </w:r>
          </w:p>
        </w:tc>
        <w:tc>
          <w:tcPr>
            <w:tcW w:w="0" w:type="auto"/>
            <w:tcBorders>
              <w:top w:val="nil"/>
              <w:left w:val="nil"/>
              <w:bottom w:val="single" w:sz="4" w:space="0" w:color="auto"/>
              <w:right w:val="single" w:sz="4" w:space="0" w:color="auto"/>
            </w:tcBorders>
            <w:noWrap/>
            <w:vAlign w:val="bottom"/>
            <w:hideMark/>
          </w:tcPr>
          <w:p w14:paraId="0EFCC2E4" w14:textId="77777777" w:rsidR="00E46727" w:rsidRPr="00427AAC" w:rsidRDefault="00E46727" w:rsidP="00CA63A1">
            <w:pPr>
              <w:spacing w:after="0" w:line="360" w:lineRule="auto"/>
              <w:jc w:val="left"/>
              <w:rPr>
                <w:rFonts w:eastAsia="Times New Roman" w:cs="Arial"/>
                <w:color w:val="000000"/>
                <w:szCs w:val="24"/>
              </w:rPr>
            </w:pPr>
            <w:hyperlink r:id="rId13" w:history="1">
              <w:r w:rsidRPr="00427AAC">
                <w:rPr>
                  <w:rFonts w:eastAsia="Times New Roman" w:cs="Arial"/>
                  <w:color w:val="000000"/>
                  <w:szCs w:val="24"/>
                </w:rPr>
                <w:t>correo4@ues.edu.sv</w:t>
              </w:r>
            </w:hyperlink>
          </w:p>
        </w:tc>
        <w:tc>
          <w:tcPr>
            <w:tcW w:w="0" w:type="auto"/>
            <w:tcBorders>
              <w:top w:val="nil"/>
              <w:left w:val="nil"/>
              <w:bottom w:val="single" w:sz="4" w:space="0" w:color="auto"/>
              <w:right w:val="single" w:sz="4" w:space="0" w:color="auto"/>
            </w:tcBorders>
            <w:noWrap/>
            <w:vAlign w:val="bottom"/>
            <w:hideMark/>
          </w:tcPr>
          <w:p w14:paraId="11CD67A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0000-0000</w:t>
            </w:r>
          </w:p>
        </w:tc>
      </w:tr>
      <w:tr w:rsidR="00E46727" w:rsidRPr="00427AAC" w14:paraId="58C3E786"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20D543B4"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Carnet 5</w:t>
            </w:r>
          </w:p>
        </w:tc>
        <w:tc>
          <w:tcPr>
            <w:tcW w:w="0" w:type="auto"/>
            <w:tcBorders>
              <w:top w:val="nil"/>
              <w:left w:val="nil"/>
              <w:bottom w:val="single" w:sz="4" w:space="0" w:color="auto"/>
              <w:right w:val="single" w:sz="4" w:space="0" w:color="auto"/>
            </w:tcBorders>
            <w:noWrap/>
            <w:vAlign w:val="bottom"/>
            <w:hideMark/>
          </w:tcPr>
          <w:p w14:paraId="30931EB1"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Nombre del integrante 5</w:t>
            </w:r>
          </w:p>
        </w:tc>
        <w:tc>
          <w:tcPr>
            <w:tcW w:w="0" w:type="auto"/>
            <w:tcBorders>
              <w:top w:val="nil"/>
              <w:left w:val="nil"/>
              <w:bottom w:val="single" w:sz="4" w:space="0" w:color="auto"/>
              <w:right w:val="single" w:sz="4" w:space="0" w:color="auto"/>
            </w:tcBorders>
            <w:noWrap/>
            <w:vAlign w:val="bottom"/>
            <w:hideMark/>
          </w:tcPr>
          <w:p w14:paraId="170D3F06"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correo5@ues.edu.sv</w:t>
            </w:r>
          </w:p>
        </w:tc>
        <w:tc>
          <w:tcPr>
            <w:tcW w:w="0" w:type="auto"/>
            <w:tcBorders>
              <w:top w:val="nil"/>
              <w:left w:val="nil"/>
              <w:bottom w:val="single" w:sz="4" w:space="0" w:color="auto"/>
              <w:right w:val="single" w:sz="4" w:space="0" w:color="auto"/>
            </w:tcBorders>
            <w:noWrap/>
            <w:vAlign w:val="bottom"/>
            <w:hideMark/>
          </w:tcPr>
          <w:p w14:paraId="72379108"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0000-0000</w:t>
            </w:r>
          </w:p>
        </w:tc>
      </w:tr>
    </w:tbl>
    <w:p w14:paraId="6E95F730" w14:textId="77777777" w:rsidR="00E46727" w:rsidRDefault="00E46727" w:rsidP="00E46727">
      <w:pPr>
        <w:jc w:val="left"/>
        <w:rPr>
          <w:rFonts w:eastAsiaTheme="majorEastAsia" w:cs="Arial"/>
          <w:b/>
          <w:szCs w:val="24"/>
          <w:lang w:val="es-ES"/>
        </w:rPr>
      </w:pPr>
      <w:r>
        <w:rPr>
          <w:rFonts w:eastAsiaTheme="majorEastAsia" w:cs="Arial"/>
          <w:b/>
          <w:szCs w:val="24"/>
          <w:lang w:val="es-ES"/>
        </w:rPr>
        <w:t xml:space="preserve"> </w:t>
      </w:r>
    </w:p>
    <w:p w14:paraId="0A38E1C7" w14:textId="77777777" w:rsidR="00F40768" w:rsidRDefault="00E46727" w:rsidP="00E46727">
      <w:pPr>
        <w:spacing w:line="360" w:lineRule="auto"/>
        <w:rPr>
          <w:rFonts w:eastAsiaTheme="majorEastAsia" w:cs="Arial"/>
          <w:szCs w:val="24"/>
          <w:lang w:val="es-ES"/>
        </w:rPr>
      </w:pP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szCs w:val="24"/>
          <w:lang w:val="es-ES"/>
        </w:rPr>
        <w:t>Jueves, 01</w:t>
      </w:r>
      <w:r w:rsidRPr="004D2EC9">
        <w:rPr>
          <w:rFonts w:eastAsiaTheme="majorEastAsia" w:cs="Arial"/>
          <w:szCs w:val="24"/>
          <w:lang w:val="es-ES"/>
        </w:rPr>
        <w:t xml:space="preserve"> de </w:t>
      </w:r>
      <w:r>
        <w:rPr>
          <w:rFonts w:eastAsiaTheme="majorEastAsia" w:cs="Arial"/>
          <w:szCs w:val="24"/>
          <w:lang w:val="es-ES"/>
        </w:rPr>
        <w:t>octubre</w:t>
      </w:r>
      <w:r w:rsidRPr="004D2EC9">
        <w:rPr>
          <w:rFonts w:eastAsiaTheme="majorEastAsia" w:cs="Arial"/>
          <w:szCs w:val="24"/>
          <w:lang w:val="es-ES"/>
        </w:rPr>
        <w:t xml:space="preserve"> de 2026</w:t>
      </w:r>
    </w:p>
    <w:p>
      <w:pPr>
        <w:spacing w:before="0" w:after="240" w:line="360" w:lineRule="auto"/>
        <w:jc w:val="center"/>
        <w:rPr>
          <w:rFonts w:cs="Arial"/>
          <w:b/>
          <w:szCs w:val="24"/>
          <w:lang w:val="es-SV"/>
        </w:rPr>
      </w:pPr>
      <w:r>
        <w:rPr>
          <w:rFonts w:cs="Arial"/>
          <w:b/>
          <w:szCs w:val="24"/>
          <w:lang w:val="es-SV"/>
        </w:rPr>
        <w:br w:type="page"/>
      </w:r>
      <w:r>
        <w:rPr>
          <w:rFonts w:cs="Arial"/>
          <w:b/>
          <w:szCs w:val="24"/>
          <w:lang w:val="es-SV"/>
        </w:rPr>
        <w:t xml:space="preserve">DELIMITACIÓN DEL TEMA</w:t>
      </w:r>
    </w:p>
    <w:p>
      <w:pPr>
        <w:spacing w:before="240" w:after="160" w:line="360" w:lineRule="auto"/>
        <w:jc w:val="both"/>
        <w:rPr>
          <w:rFonts w:cs="Arial"/>
          <w:b/>
          <w:szCs w:val="24"/>
          <w:lang w:val="es-SV"/>
        </w:rPr>
      </w:pPr>
      <w:r>
        <w:rPr>
          <w:rFonts w:cs="Arial"/>
          <w:b/>
          <w:szCs w:val="24"/>
          <w:lang w:val="es-SV"/>
        </w:rPr>
        <w:t xml:space="preserve">Tema de investigación</w:t>
      </w:r>
    </w:p>
    <w:p>
      <w:pPr>
        <w:spacing w:before="0" w:after="160" w:line="360" w:lineRule="auto"/>
        <w:jc w:val="both"/>
        <w:rPr>
          <w:rFonts w:cs="Arial"/>
          <w:szCs w:val="24"/>
          <w:lang w:val="es-SV"/>
        </w:rPr>
      </w:pPr>
      <w:r>
        <w:rPr>
          <w:rFonts w:cs="Arial"/>
          <w:szCs w:val="24"/>
          <w:lang w:val="es-SV"/>
        </w:rPr>
        <w:t xml:space="preserve">“Análisis de la aplicación de la teoría del debido cuidado en los supermercados del municipio de San Salvador, durante el segundo semestre de 2026, y propuesta de un protocolo de debido cuidado hacia el consumidor”.</w:t>
      </w:r>
    </w:p>
    <w:p>
      <w:pPr>
        <w:spacing w:before="240" w:after="160" w:line="360" w:lineRule="auto"/>
        <w:jc w:val="both"/>
        <w:rPr>
          <w:rFonts w:cs="Arial"/>
          <w:b/>
          <w:szCs w:val="24"/>
          <w:lang w:val="es-SV"/>
        </w:rPr>
      </w:pPr>
      <w:r>
        <w:rPr>
          <w:rFonts w:cs="Arial"/>
          <w:b/>
          <w:szCs w:val="24"/>
          <w:lang w:val="es-SV"/>
        </w:rPr>
        <w:t xml:space="preserve">Delimitación teórica</w:t>
      </w:r>
    </w:p>
    <w:p>
      <w:pPr>
        <w:spacing w:before="0" w:after="160" w:line="360" w:lineRule="auto"/>
        <w:jc w:val="both"/>
        <w:rPr>
          <w:rFonts w:cs="Arial"/>
          <w:szCs w:val="24"/>
          <w:lang w:val="es-SV"/>
        </w:rPr>
      </w:pPr>
      <w:r>
        <w:rPr>
          <w:rFonts w:cs="Arial"/>
          <w:szCs w:val="24"/>
          <w:lang w:val="es-SV"/>
        </w:rPr>
        <w:t xml:space="preserve">La investigación se fundamenta en la teoría del debido cuidado, que forma parte de la ética de la producción para el consumidor y el marketing. Esta teoría sostiene que, debido a que el fabricante y el vendedor conocen mejor el producto que el consumidor, tienen la obligación de tomar todas las precauciones razonables para que sus productos no causen daño. El estudio se centra en las obligaciones de debido cuidado en el diseño, la producción, la información y advertencias, y el seguimiento posterior a la venta, así como en los problemas que presenta esta teoría.</w:t>
      </w:r>
    </w:p>
    <w:p>
      <w:pPr>
        <w:spacing w:before="240" w:after="160" w:line="360" w:lineRule="auto"/>
        <w:jc w:val="both"/>
        <w:rPr>
          <w:rFonts w:cs="Arial"/>
          <w:b/>
          <w:szCs w:val="24"/>
          <w:lang w:val="es-SV"/>
        </w:rPr>
      </w:pPr>
      <w:r>
        <w:rPr>
          <w:rFonts w:cs="Arial"/>
          <w:b/>
          <w:szCs w:val="24"/>
          <w:lang w:val="es-SV"/>
        </w:rPr>
        <w:t xml:space="preserve">Delimitación espacial</w:t>
      </w:r>
    </w:p>
    <w:p>
      <w:pPr>
        <w:spacing w:before="0" w:after="160" w:line="360" w:lineRule="auto"/>
        <w:jc w:val="both"/>
        <w:rPr>
          <w:rFonts w:cs="Arial"/>
          <w:szCs w:val="24"/>
          <w:lang w:val="es-SV"/>
        </w:rPr>
      </w:pPr>
      <w:r>
        <w:rPr>
          <w:rFonts w:cs="Arial"/>
          <w:szCs w:val="24"/>
          <w:lang w:val="es-SV"/>
        </w:rPr>
        <w:t xml:space="preserve">La investigación se realizará en los supermercados ubicados en el municipio de San Salvador, departamento de San Salvador, El Salvador.</w:t>
      </w:r>
    </w:p>
    <w:p>
      <w:pPr>
        <w:spacing w:before="240" w:after="160" w:line="360" w:lineRule="auto"/>
        <w:jc w:val="both"/>
        <w:rPr>
          <w:rFonts w:cs="Arial"/>
          <w:b/>
          <w:szCs w:val="24"/>
          <w:lang w:val="es-SV"/>
        </w:rPr>
      </w:pPr>
      <w:r>
        <w:rPr>
          <w:rFonts w:cs="Arial"/>
          <w:b/>
          <w:szCs w:val="24"/>
          <w:lang w:val="es-SV"/>
        </w:rPr>
        <w:t xml:space="preserve">Delimitación temporal</w:t>
      </w:r>
    </w:p>
    <w:p>
      <w:pPr>
        <w:spacing w:before="0" w:after="160" w:line="360" w:lineRule="auto"/>
        <w:jc w:val="both"/>
        <w:rPr>
          <w:rFonts w:cs="Arial"/>
          <w:szCs w:val="24"/>
          <w:lang w:val="es-SV"/>
        </w:rPr>
      </w:pPr>
      <w:r>
        <w:rPr>
          <w:rFonts w:cs="Arial"/>
          <w:szCs w:val="24"/>
          <w:lang w:val="es-SV"/>
        </w:rPr>
        <w:t xml:space="preserve">El estudio comprende el segundo semestre del año 2026, específicamente de agosto a noviembre de 2026.</w:t>
      </w:r>
    </w:p>
    <w:p>
      <w:pPr>
        <w:spacing w:before="240" w:after="160" w:line="360" w:lineRule="auto"/>
        <w:jc w:val="both"/>
        <w:rPr>
          <w:rFonts w:cs="Arial"/>
          <w:b/>
          <w:szCs w:val="24"/>
          <w:lang w:val="es-SV"/>
        </w:rPr>
      </w:pPr>
      <w:r>
        <w:rPr>
          <w:rFonts w:cs="Arial"/>
          <w:b/>
          <w:szCs w:val="24"/>
          <w:lang w:val="es-SV"/>
        </w:rPr>
        <w:t xml:space="preserve">Delimitación de sujetos</w:t>
      </w:r>
    </w:p>
    <w:p>
      <w:pPr>
        <w:spacing w:before="0" w:after="60" w:line="360" w:lineRule="auto"/>
        <w:ind w:left="567"/>
        <w:jc w:val="both"/>
        <w:rPr>
          <w:rFonts w:cs="Arial"/>
          <w:szCs w:val="24"/>
          <w:lang w:val="es-SV"/>
        </w:rPr>
      </w:pPr>
      <w:r>
        <w:rPr>
          <w:rFonts w:cs="Arial"/>
          <w:szCs w:val="24"/>
          <w:lang w:val="es-SV"/>
        </w:rPr>
        <w:t xml:space="preserve">•  Consumidores que realizan sus compras en supermercados del municipio de San Salvador.</w:t>
      </w:r>
    </w:p>
    <w:p>
      <w:pPr>
        <w:spacing w:before="0" w:after="60" w:line="360" w:lineRule="auto"/>
        <w:ind w:left="567"/>
        <w:jc w:val="both"/>
        <w:rPr>
          <w:rFonts w:cs="Arial"/>
          <w:szCs w:val="24"/>
          <w:lang w:val="es-SV"/>
        </w:rPr>
      </w:pPr>
      <w:r>
        <w:rPr>
          <w:rFonts w:cs="Arial"/>
          <w:szCs w:val="24"/>
          <w:lang w:val="es-SV"/>
        </w:rPr>
        <w:t xml:space="preserve">•  Personal de atención al cliente y encargados de sala de venta de los supermercados.</w:t>
      </w:r>
    </w:p>
    <w:p>
      <w:pPr>
        <w:spacing w:before="240" w:after="160" w:line="360" w:lineRule="auto"/>
        <w:jc w:val="both"/>
        <w:rPr>
          <w:rFonts w:cs="Arial"/>
          <w:b/>
          <w:szCs w:val="24"/>
          <w:lang w:val="es-SV"/>
        </w:rPr>
      </w:pPr>
      <w:r>
        <w:rPr>
          <w:rFonts w:cs="Arial"/>
          <w:b/>
          <w:szCs w:val="24"/>
          <w:lang w:val="es-SV"/>
        </w:rPr>
        <w:t xml:space="preserve">Delimitación del objeto de estudio</w:t>
      </w:r>
    </w:p>
    <w:p>
      <w:pPr>
        <w:spacing w:before="0" w:after="160" w:line="360" w:lineRule="auto"/>
        <w:jc w:val="both"/>
        <w:rPr>
          <w:rFonts w:cs="Arial"/>
          <w:szCs w:val="24"/>
          <w:lang w:val="es-SV"/>
        </w:rPr>
      </w:pPr>
      <w:r>
        <w:rPr>
          <w:rFonts w:cs="Arial"/>
          <w:szCs w:val="24"/>
          <w:lang w:val="es-SV"/>
        </w:rPr>
        <w:t xml:space="preserve">Se analizarán los productos alimenticios, de limpieza y de cuidado personal que se venden en los supermercados, por ser los que tienen mayor relación con la salud y la seguridad del consumidor. Se evaluarán aspectos como el etiquetado, las advertencias, las fechas de vencimiento, el estado de conservación de los productos y la atención de reclamos.</w:t>
      </w:r>
    </w:p>
    <w:p>
      <w:pPr>
        <w:spacing w:before="240" w:after="160" w:line="360" w:lineRule="auto"/>
        <w:jc w:val="both"/>
        <w:rPr>
          <w:rFonts w:cs="Arial"/>
          <w:b/>
          <w:szCs w:val="24"/>
          <w:lang w:val="es-SV"/>
        </w:rPr>
      </w:pPr>
      <w:r>
        <w:rPr>
          <w:rFonts w:cs="Arial"/>
          <w:b/>
          <w:szCs w:val="24"/>
          <w:lang w:val="es-SV"/>
        </w:rPr>
        <w:t xml:space="preserve">Objetivo general</w:t>
      </w:r>
    </w:p>
    <w:p>
      <w:pPr>
        <w:spacing w:before="0" w:after="160" w:line="360" w:lineRule="auto"/>
        <w:jc w:val="both"/>
        <w:rPr>
          <w:rFonts w:cs="Arial"/>
          <w:szCs w:val="24"/>
          <w:lang w:val="es-SV"/>
        </w:rPr>
      </w:pPr>
      <w:r>
        <w:rPr>
          <w:rFonts w:cs="Arial"/>
          <w:szCs w:val="24"/>
          <w:lang w:val="es-SV"/>
        </w:rPr>
        <w:t xml:space="preserve">Analizar la aplicación de la teoría del debido cuidado en los supermercados del municipio de San Salvador durante el segundo semestre de 2026, con el fin de proponer un protocolo de debido cuidado que fortalezca la protección del consumidor.</w:t>
      </w:r>
    </w:p>
    <w:p>
      <w:pPr>
        <w:spacing w:before="240" w:after="160" w:line="360" w:lineRule="auto"/>
        <w:jc w:val="both"/>
        <w:rPr>
          <w:rFonts w:cs="Arial"/>
          <w:b/>
          <w:szCs w:val="24"/>
          <w:lang w:val="es-SV"/>
        </w:rPr>
      </w:pPr>
      <w:r>
        <w:rPr>
          <w:rFonts w:cs="Arial"/>
          <w:b/>
          <w:szCs w:val="24"/>
          <w:lang w:val="es-SV"/>
        </w:rPr>
        <w:t xml:space="preserve">Objetivos específicos</w:t>
      </w:r>
    </w:p>
    <w:p>
      <w:pPr>
        <w:spacing w:before="0" w:after="60" w:line="360" w:lineRule="auto"/>
        <w:ind w:left="567"/>
        <w:jc w:val="both"/>
        <w:rPr>
          <w:rFonts w:cs="Arial"/>
          <w:szCs w:val="24"/>
          <w:lang w:val="es-SV"/>
        </w:rPr>
      </w:pPr>
      <w:r>
        <w:rPr>
          <w:rFonts w:cs="Arial"/>
          <w:szCs w:val="24"/>
          <w:lang w:val="es-SV"/>
        </w:rPr>
        <w:t xml:space="preserve">•  Describir los fundamentos de la teoría del debido cuidado y sus implicaciones éticas para las empresas.</w:t>
      </w:r>
    </w:p>
    <w:p>
      <w:pPr>
        <w:spacing w:before="0" w:after="60" w:line="360" w:lineRule="auto"/>
        <w:ind w:left="567"/>
        <w:jc w:val="both"/>
        <w:rPr>
          <w:rFonts w:cs="Arial"/>
          <w:szCs w:val="24"/>
          <w:lang w:val="es-SV"/>
        </w:rPr>
      </w:pPr>
      <w:r>
        <w:rPr>
          <w:rFonts w:cs="Arial"/>
          <w:szCs w:val="24"/>
          <w:lang w:val="es-SV"/>
        </w:rPr>
        <w:t xml:space="preserve">•  Identificar las prácticas de cuidado que aplican los supermercados en cuanto a la calidad, el etiquetado y la seguridad de los productos.</w:t>
      </w:r>
    </w:p>
    <w:p>
      <w:pPr>
        <w:spacing w:before="0" w:after="60" w:line="360" w:lineRule="auto"/>
        <w:ind w:left="567"/>
        <w:jc w:val="both"/>
        <w:rPr>
          <w:rFonts w:cs="Arial"/>
          <w:szCs w:val="24"/>
          <w:lang w:val="es-SV"/>
        </w:rPr>
      </w:pPr>
      <w:r>
        <w:rPr>
          <w:rFonts w:cs="Arial"/>
          <w:szCs w:val="24"/>
          <w:lang w:val="es-SV"/>
        </w:rPr>
        <w:t xml:space="preserve">•  Conocer la percepción de los consumidores sobre el cuidado que reciben de los supermercados.</w:t>
      </w:r>
    </w:p>
    <w:p>
      <w:pPr>
        <w:spacing w:before="0" w:after="60" w:line="360" w:lineRule="auto"/>
        <w:ind w:left="567"/>
        <w:jc w:val="both"/>
        <w:rPr>
          <w:rFonts w:cs="Arial"/>
          <w:szCs w:val="24"/>
          <w:lang w:val="es-SV"/>
        </w:rPr>
      </w:pPr>
      <w:r>
        <w:rPr>
          <w:rFonts w:cs="Arial"/>
          <w:szCs w:val="24"/>
          <w:lang w:val="es-SV"/>
        </w:rPr>
        <w:t xml:space="preserve">•  Diseñar un protocolo de debido cuidado aplicable a los supermercados del municipio de San Salvador.</w:t>
      </w:r>
    </w:p>
    <w:p>
      <w:pPr>
        <w:spacing w:before="0" w:after="240" w:line="360" w:lineRule="auto"/>
        <w:jc w:val="center"/>
        <w:rPr>
          <w:rFonts w:cs="Arial"/>
          <w:b/>
          <w:szCs w:val="24"/>
          <w:lang w:val="es-SV"/>
        </w:rPr>
      </w:pPr>
      <w:r>
        <w:rPr>
          <w:rFonts w:cs="Arial"/>
          <w:b/>
          <w:szCs w:val="24"/>
          <w:lang w:val="es-SV"/>
        </w:rPr>
        <w:br w:type="page"/>
      </w:r>
      <w:r>
        <w:rPr>
          <w:rFonts w:cs="Arial"/>
          <w:b/>
          <w:szCs w:val="24"/>
          <w:lang w:val="es-SV"/>
        </w:rPr>
        <w:t xml:space="preserve">PROPUESTA: PROTOCOLO DE DEBIDO CUIDADO DE LA EMPRESA HACIA EL CONSUMIDOR</w:t>
      </w:r>
    </w:p>
    <w:p>
      <w:pPr>
        <w:spacing w:before="240" w:after="160" w:line="360" w:lineRule="auto"/>
        <w:jc w:val="both"/>
        <w:rPr>
          <w:rFonts w:cs="Arial"/>
          <w:b/>
          <w:szCs w:val="24"/>
          <w:lang w:val="es-SV"/>
        </w:rPr>
      </w:pPr>
      <w:r>
        <w:rPr>
          <w:rFonts w:cs="Arial"/>
          <w:b/>
          <w:szCs w:val="24"/>
          <w:lang w:val="es-SV"/>
        </w:rPr>
        <w:t xml:space="preserve">Presentación</w:t>
      </w:r>
    </w:p>
    <w:p>
      <w:pPr>
        <w:spacing w:before="0" w:after="160" w:line="360" w:lineRule="auto"/>
        <w:jc w:val="both"/>
        <w:rPr>
          <w:rFonts w:cs="Arial"/>
          <w:szCs w:val="24"/>
          <w:lang w:val="es-SV"/>
        </w:rPr>
      </w:pPr>
      <w:r>
        <w:rPr>
          <w:rFonts w:cs="Arial"/>
          <w:szCs w:val="24"/>
          <w:lang w:val="es-SV"/>
        </w:rPr>
        <w:t xml:space="preserve">La teoría del debido cuidado reconoce que la empresa y el consumidor no están en igualdad de condiciones: la empresa conoce los materiales, procesos y riesgos de sus productos, mientras que el consumidor depende de la información que recibe y de la confianza que deposita en ella. Por esta razón, la empresa tiene el deber ético de prevenir daños aunque el contrato de compraventa no lo exija expresamente. El presente protocolo propone acciones concretas para que los supermercados del municipio de San Salvador apliquen este deber en su operación diaria.</w:t>
      </w:r>
    </w:p>
    <w:p>
      <w:pPr>
        <w:spacing w:before="240" w:after="160" w:line="360" w:lineRule="auto"/>
        <w:jc w:val="both"/>
        <w:rPr>
          <w:rFonts w:cs="Arial"/>
          <w:b/>
          <w:szCs w:val="24"/>
          <w:lang w:val="es-SV"/>
        </w:rPr>
      </w:pPr>
      <w:r>
        <w:rPr>
          <w:rFonts w:cs="Arial"/>
          <w:b/>
          <w:szCs w:val="24"/>
          <w:lang w:val="es-SV"/>
        </w:rPr>
        <w:t xml:space="preserve">Objetivo</w:t>
      </w:r>
    </w:p>
    <w:p>
      <w:pPr>
        <w:spacing w:before="0" w:after="160" w:line="360" w:lineRule="auto"/>
        <w:jc w:val="both"/>
        <w:rPr>
          <w:rFonts w:cs="Arial"/>
          <w:szCs w:val="24"/>
          <w:lang w:val="es-SV"/>
        </w:rPr>
      </w:pPr>
      <w:r>
        <w:rPr>
          <w:rFonts w:cs="Arial"/>
          <w:szCs w:val="24"/>
          <w:lang w:val="es-SV"/>
        </w:rPr>
        <w:t xml:space="preserve">Establecer lineamientos que garanticen que los productos ofrecidos por los supermercados sean seguros, estén en buen estado y cuenten con la información necesaria para su uso correcto, protegiendo la salud y los intereses del consumidor.</w:t>
      </w:r>
    </w:p>
    <w:p>
      <w:pPr>
        <w:spacing w:before="240" w:after="160" w:line="360" w:lineRule="auto"/>
        <w:jc w:val="both"/>
        <w:rPr>
          <w:rFonts w:cs="Arial"/>
          <w:b/>
          <w:szCs w:val="24"/>
          <w:lang w:val="es-SV"/>
        </w:rPr>
      </w:pPr>
      <w:r>
        <w:rPr>
          <w:rFonts w:cs="Arial"/>
          <w:b/>
          <w:szCs w:val="24"/>
          <w:lang w:val="es-SV"/>
        </w:rPr>
        <w:t xml:space="preserve">Alcance</w:t>
      </w:r>
    </w:p>
    <w:p>
      <w:pPr>
        <w:spacing w:before="0" w:after="160" w:line="360" w:lineRule="auto"/>
        <w:jc w:val="both"/>
        <w:rPr>
          <w:rFonts w:cs="Arial"/>
          <w:szCs w:val="24"/>
          <w:lang w:val="es-SV"/>
        </w:rPr>
      </w:pPr>
      <w:r>
        <w:rPr>
          <w:rFonts w:cs="Arial"/>
          <w:szCs w:val="24"/>
          <w:lang w:val="es-SV"/>
        </w:rPr>
        <w:t xml:space="preserve">Este protocolo aplica a directivos, encargados de compras, bodega, sala de venta, atención al cliente y marketing de los supermercados, así como a los proveedores que abastecen sus productos.</w:t>
      </w:r>
    </w:p>
    <w:p>
      <w:pPr>
        <w:spacing w:before="240" w:after="160" w:line="360" w:lineRule="auto"/>
        <w:jc w:val="both"/>
        <w:rPr>
          <w:rFonts w:cs="Arial"/>
          <w:b/>
          <w:szCs w:val="24"/>
          <w:lang w:val="es-SV"/>
        </w:rPr>
      </w:pPr>
      <w:r>
        <w:rPr>
          <w:rFonts w:cs="Arial"/>
          <w:b/>
          <w:szCs w:val="24"/>
          <w:lang w:val="es-SV"/>
        </w:rPr>
        <w:t xml:space="preserve">Etapa 1. Selección de proveedores y productos</w:t>
      </w:r>
    </w:p>
    <w:p>
      <w:pPr>
        <w:spacing w:before="0" w:after="160" w:line="360" w:lineRule="auto"/>
        <w:jc w:val="both"/>
        <w:rPr>
          <w:rFonts w:cs="Arial"/>
          <w:szCs w:val="24"/>
          <w:lang w:val="es-SV"/>
        </w:rPr>
      </w:pPr>
      <w:r>
        <w:rPr>
          <w:rFonts w:cs="Arial"/>
          <w:b/>
          <w:szCs w:val="24"/>
          <w:lang w:val="es-SV"/>
        </w:rPr>
        <w:t xml:space="preserve">Acción 1. </w:t>
      </w:r>
      <w:r>
        <w:rPr>
          <w:rFonts w:cs="Arial"/>
          <w:szCs w:val="24"/>
          <w:lang w:val="es-SV"/>
        </w:rPr>
        <w:t xml:space="preserve">Comprar únicamente a proveedores que cuenten con registro sanitario y que cumplan las normas de calidad vigentes en El Salvador.</w:t>
      </w:r>
    </w:p>
    <w:p>
      <w:pPr>
        <w:spacing w:before="0" w:after="160" w:line="360" w:lineRule="auto"/>
        <w:jc w:val="both"/>
        <w:rPr>
          <w:rFonts w:cs="Arial"/>
          <w:szCs w:val="24"/>
          <w:lang w:val="es-SV"/>
        </w:rPr>
      </w:pPr>
      <w:r>
        <w:rPr>
          <w:rFonts w:cs="Arial"/>
          <w:b/>
          <w:szCs w:val="24"/>
          <w:lang w:val="es-SV"/>
        </w:rPr>
        <w:t xml:space="preserve">Acción 2. </w:t>
      </w:r>
      <w:r>
        <w:rPr>
          <w:rFonts w:cs="Arial"/>
          <w:szCs w:val="24"/>
          <w:lang w:val="es-SV"/>
        </w:rPr>
        <w:t xml:space="preserve">Revisar que cada producto nuevo tenga etiquetado completo en español, con ingredientes, fecha de vencimiento, advertencias y datos del fabricante.</w:t>
      </w:r>
    </w:p>
    <w:p>
      <w:pPr>
        <w:spacing w:before="240" w:after="160" w:line="360" w:lineRule="auto"/>
        <w:jc w:val="both"/>
        <w:rPr>
          <w:rFonts w:cs="Arial"/>
          <w:b/>
          <w:szCs w:val="24"/>
          <w:lang w:val="es-SV"/>
        </w:rPr>
      </w:pPr>
      <w:r>
        <w:rPr>
          <w:rFonts w:cs="Arial"/>
          <w:b/>
          <w:szCs w:val="24"/>
          <w:lang w:val="es-SV"/>
        </w:rPr>
        <w:t xml:space="preserve">Etapa 2. Almacenamiento y conservación</w:t>
      </w:r>
    </w:p>
    <w:p>
      <w:pPr>
        <w:spacing w:before="0" w:after="160" w:line="360" w:lineRule="auto"/>
        <w:jc w:val="both"/>
        <w:rPr>
          <w:rFonts w:cs="Arial"/>
          <w:szCs w:val="24"/>
          <w:lang w:val="es-SV"/>
        </w:rPr>
      </w:pPr>
      <w:r>
        <w:rPr>
          <w:rFonts w:cs="Arial"/>
          <w:b/>
          <w:szCs w:val="24"/>
          <w:lang w:val="es-SV"/>
        </w:rPr>
        <w:t xml:space="preserve">Acción 3. </w:t>
      </w:r>
      <w:r>
        <w:rPr>
          <w:rFonts w:cs="Arial"/>
          <w:szCs w:val="24"/>
          <w:lang w:val="es-SV"/>
        </w:rPr>
        <w:t xml:space="preserve">Mantener la cadena de frío en productos refrigerados y congelados, con registro diario de temperaturas.</w:t>
      </w:r>
    </w:p>
    <w:p>
      <w:pPr>
        <w:spacing w:before="0" w:after="160" w:line="360" w:lineRule="auto"/>
        <w:jc w:val="both"/>
        <w:rPr>
          <w:rFonts w:cs="Arial"/>
          <w:szCs w:val="24"/>
          <w:lang w:val="es-SV"/>
        </w:rPr>
      </w:pPr>
      <w:r>
        <w:rPr>
          <w:rFonts w:cs="Arial"/>
          <w:b/>
          <w:szCs w:val="24"/>
          <w:lang w:val="es-SV"/>
        </w:rPr>
        <w:t xml:space="preserve">Acción 4. </w:t>
      </w:r>
      <w:r>
        <w:rPr>
          <w:rFonts w:cs="Arial"/>
          <w:szCs w:val="24"/>
          <w:lang w:val="es-SV"/>
        </w:rPr>
        <w:t xml:space="preserve">Separar los productos de limpieza y químicos de los alimentos, tanto en bodega como en los anaqueles.</w:t>
      </w:r>
    </w:p>
    <w:p>
      <w:pPr>
        <w:spacing w:before="0" w:after="160" w:line="360" w:lineRule="auto"/>
        <w:jc w:val="both"/>
        <w:rPr>
          <w:rFonts w:cs="Arial"/>
          <w:szCs w:val="24"/>
          <w:lang w:val="es-SV"/>
        </w:rPr>
      </w:pPr>
      <w:r>
        <w:rPr>
          <w:rFonts w:cs="Arial"/>
          <w:b/>
          <w:szCs w:val="24"/>
          <w:lang w:val="es-SV"/>
        </w:rPr>
        <w:t xml:space="preserve">Acción 5. </w:t>
      </w:r>
      <w:r>
        <w:rPr>
          <w:rFonts w:cs="Arial"/>
          <w:szCs w:val="24"/>
          <w:lang w:val="es-SV"/>
        </w:rPr>
        <w:t xml:space="preserve">Aplicar el método “primero en vencer, primero en salir” para evitar la venta de productos vencidos.</w:t>
      </w:r>
    </w:p>
    <w:p>
      <w:pPr>
        <w:spacing w:before="240" w:after="160" w:line="360" w:lineRule="auto"/>
        <w:jc w:val="both"/>
        <w:rPr>
          <w:rFonts w:cs="Arial"/>
          <w:b/>
          <w:szCs w:val="24"/>
          <w:lang w:val="es-SV"/>
        </w:rPr>
      </w:pPr>
      <w:r>
        <w:rPr>
          <w:rFonts w:cs="Arial"/>
          <w:b/>
          <w:szCs w:val="24"/>
          <w:lang w:val="es-SV"/>
        </w:rPr>
        <w:t xml:space="preserve">Etapa 3. Información y advertencias al consumidor</w:t>
      </w:r>
    </w:p>
    <w:p>
      <w:pPr>
        <w:spacing w:before="0" w:after="160" w:line="360" w:lineRule="auto"/>
        <w:jc w:val="both"/>
        <w:rPr>
          <w:rFonts w:cs="Arial"/>
          <w:szCs w:val="24"/>
          <w:lang w:val="es-SV"/>
        </w:rPr>
      </w:pPr>
      <w:r>
        <w:rPr>
          <w:rFonts w:cs="Arial"/>
          <w:b/>
          <w:szCs w:val="24"/>
          <w:lang w:val="es-SV"/>
        </w:rPr>
        <w:t xml:space="preserve">Acción 6. </w:t>
      </w:r>
      <w:r>
        <w:rPr>
          <w:rFonts w:cs="Arial"/>
          <w:szCs w:val="24"/>
          <w:lang w:val="es-SV"/>
        </w:rPr>
        <w:t xml:space="preserve">Colocar los precios de forma visible y coincidente con el precio cobrado en caja.</w:t>
      </w:r>
    </w:p>
    <w:p>
      <w:pPr>
        <w:spacing w:before="0" w:after="160" w:line="360" w:lineRule="auto"/>
        <w:jc w:val="both"/>
        <w:rPr>
          <w:rFonts w:cs="Arial"/>
          <w:szCs w:val="24"/>
          <w:lang w:val="es-SV"/>
        </w:rPr>
      </w:pPr>
      <w:r>
        <w:rPr>
          <w:rFonts w:cs="Arial"/>
          <w:b/>
          <w:szCs w:val="24"/>
          <w:lang w:val="es-SV"/>
        </w:rPr>
        <w:t xml:space="preserve">Acción 7. </w:t>
      </w:r>
      <w:r>
        <w:rPr>
          <w:rFonts w:cs="Arial"/>
          <w:szCs w:val="24"/>
          <w:lang w:val="es-SV"/>
        </w:rPr>
        <w:t xml:space="preserve">Señalizar en el anaquel los productos con alérgenos, alto contenido de azúcar, sodio o grasas, y los productos que no son aptos para niños.</w:t>
      </w:r>
    </w:p>
    <w:p>
      <w:pPr>
        <w:spacing w:before="0" w:after="160" w:line="360" w:lineRule="auto"/>
        <w:jc w:val="both"/>
        <w:rPr>
          <w:rFonts w:cs="Arial"/>
          <w:szCs w:val="24"/>
          <w:lang w:val="es-SV"/>
        </w:rPr>
      </w:pPr>
      <w:r>
        <w:rPr>
          <w:rFonts w:cs="Arial"/>
          <w:b/>
          <w:szCs w:val="24"/>
          <w:lang w:val="es-SV"/>
        </w:rPr>
        <w:t xml:space="preserve">Acción 8. </w:t>
      </w:r>
      <w:r>
        <w:rPr>
          <w:rFonts w:cs="Arial"/>
          <w:szCs w:val="24"/>
          <w:lang w:val="es-SV"/>
        </w:rPr>
        <w:t xml:space="preserve">No ofrecer en promoción productos próximos a vencer sin informarlo de forma clara al consumidor.</w:t>
      </w:r>
    </w:p>
    <w:p>
      <w:pPr>
        <w:spacing w:before="240" w:after="160" w:line="360" w:lineRule="auto"/>
        <w:jc w:val="both"/>
        <w:rPr>
          <w:rFonts w:cs="Arial"/>
          <w:b/>
          <w:szCs w:val="24"/>
          <w:lang w:val="es-SV"/>
        </w:rPr>
      </w:pPr>
      <w:r>
        <w:rPr>
          <w:rFonts w:cs="Arial"/>
          <w:b/>
          <w:szCs w:val="24"/>
          <w:lang w:val="es-SV"/>
        </w:rPr>
        <w:t xml:space="preserve">Etapa 4. Atención a consumidores vulnerables</w:t>
      </w:r>
    </w:p>
    <w:p>
      <w:pPr>
        <w:spacing w:before="0" w:after="160" w:line="360" w:lineRule="auto"/>
        <w:jc w:val="both"/>
        <w:rPr>
          <w:rFonts w:cs="Arial"/>
          <w:szCs w:val="24"/>
          <w:lang w:val="es-SV"/>
        </w:rPr>
      </w:pPr>
      <w:r>
        <w:rPr>
          <w:rFonts w:cs="Arial"/>
          <w:b/>
          <w:szCs w:val="24"/>
          <w:lang w:val="es-SV"/>
        </w:rPr>
        <w:t xml:space="preserve">Acción 9. </w:t>
      </w:r>
      <w:r>
        <w:rPr>
          <w:rFonts w:cs="Arial"/>
          <w:szCs w:val="24"/>
          <w:lang w:val="es-SV"/>
        </w:rPr>
        <w:t xml:space="preserve">Ubicar los productos peligrosos fuera del alcance de los niños.</w:t>
      </w:r>
    </w:p>
    <w:p>
      <w:pPr>
        <w:spacing w:before="0" w:after="160" w:line="360" w:lineRule="auto"/>
        <w:jc w:val="both"/>
        <w:rPr>
          <w:rFonts w:cs="Arial"/>
          <w:szCs w:val="24"/>
          <w:lang w:val="es-SV"/>
        </w:rPr>
      </w:pPr>
      <w:r>
        <w:rPr>
          <w:rFonts w:cs="Arial"/>
          <w:b/>
          <w:szCs w:val="24"/>
          <w:lang w:val="es-SV"/>
        </w:rPr>
        <w:t xml:space="preserve">Acción 10. </w:t>
      </w:r>
      <w:r>
        <w:rPr>
          <w:rFonts w:cs="Arial"/>
          <w:szCs w:val="24"/>
          <w:lang w:val="es-SV"/>
        </w:rPr>
        <w:t xml:space="preserve">Brindar asistencia a personas adultas mayores y personas con discapacidad que necesiten información sobre los productos.</w:t>
      </w:r>
    </w:p>
    <w:p>
      <w:pPr>
        <w:spacing w:before="240" w:after="160" w:line="360" w:lineRule="auto"/>
        <w:jc w:val="both"/>
        <w:rPr>
          <w:rFonts w:cs="Arial"/>
          <w:b/>
          <w:szCs w:val="24"/>
          <w:lang w:val="es-SV"/>
        </w:rPr>
      </w:pPr>
      <w:r>
        <w:rPr>
          <w:rFonts w:cs="Arial"/>
          <w:b/>
          <w:szCs w:val="24"/>
          <w:lang w:val="es-SV"/>
        </w:rPr>
        <w:t xml:space="preserve">Etapa 5. Seguimiento después de la venta</w:t>
      </w:r>
    </w:p>
    <w:p>
      <w:pPr>
        <w:spacing w:before="0" w:after="160" w:line="360" w:lineRule="auto"/>
        <w:jc w:val="both"/>
        <w:rPr>
          <w:rFonts w:cs="Arial"/>
          <w:szCs w:val="24"/>
          <w:lang w:val="es-SV"/>
        </w:rPr>
      </w:pPr>
      <w:r>
        <w:rPr>
          <w:rFonts w:cs="Arial"/>
          <w:b/>
          <w:szCs w:val="24"/>
          <w:lang w:val="es-SV"/>
        </w:rPr>
        <w:t xml:space="preserve">Acción 11. </w:t>
      </w:r>
      <w:r>
        <w:rPr>
          <w:rFonts w:cs="Arial"/>
          <w:szCs w:val="24"/>
          <w:lang w:val="es-SV"/>
        </w:rPr>
        <w:t xml:space="preserve">Contar con un área de atención al cliente que reciba y resuelva reclamos, cambios y devoluciones en un plazo máximo de cinco días hábiles.</w:t>
      </w:r>
    </w:p>
    <w:p>
      <w:pPr>
        <w:spacing w:before="0" w:after="160" w:line="360" w:lineRule="auto"/>
        <w:jc w:val="both"/>
        <w:rPr>
          <w:rFonts w:cs="Arial"/>
          <w:szCs w:val="24"/>
          <w:lang w:val="es-SV"/>
        </w:rPr>
      </w:pPr>
      <w:r>
        <w:rPr>
          <w:rFonts w:cs="Arial"/>
          <w:b/>
          <w:szCs w:val="24"/>
          <w:lang w:val="es-SV"/>
        </w:rPr>
        <w:t xml:space="preserve">Acción 12. </w:t>
      </w:r>
      <w:r>
        <w:rPr>
          <w:rFonts w:cs="Arial"/>
          <w:szCs w:val="24"/>
          <w:lang w:val="es-SV"/>
        </w:rPr>
        <w:t xml:space="preserve">Retirar de inmediato de los anaqueles cualquier producto que presente defectos, contaminación o alertas sanitarias, e informar a los consumidores que lo hayan comprado.</w:t>
      </w:r>
    </w:p>
    <w:p>
      <w:pPr>
        <w:spacing w:before="0" w:after="160" w:line="360" w:lineRule="auto"/>
        <w:jc w:val="both"/>
        <w:rPr>
          <w:rFonts w:cs="Arial"/>
          <w:szCs w:val="24"/>
          <w:lang w:val="es-SV"/>
        </w:rPr>
      </w:pPr>
      <w:r>
        <w:rPr>
          <w:rFonts w:cs="Arial"/>
          <w:b/>
          <w:szCs w:val="24"/>
          <w:lang w:val="es-SV"/>
        </w:rPr>
        <w:t xml:space="preserve">Acción 13. </w:t>
      </w:r>
      <w:r>
        <w:rPr>
          <w:rFonts w:cs="Arial"/>
          <w:szCs w:val="24"/>
          <w:lang w:val="es-SV"/>
        </w:rPr>
        <w:t xml:space="preserve">Responder por los daños que un producto en mal estado cause al consumidor.</w:t>
      </w:r>
    </w:p>
    <w:p>
      <w:pPr>
        <w:spacing w:before="240" w:after="160" w:line="360" w:lineRule="auto"/>
        <w:jc w:val="both"/>
        <w:rPr>
          <w:rFonts w:cs="Arial"/>
          <w:b/>
          <w:szCs w:val="24"/>
          <w:lang w:val="es-SV"/>
        </w:rPr>
      </w:pPr>
      <w:r>
        <w:rPr>
          <w:rFonts w:cs="Arial"/>
          <w:b/>
          <w:szCs w:val="24"/>
          <w:lang w:val="es-SV"/>
        </w:rPr>
        <w:t xml:space="preserve">Etapa 6. Respuesta a los problemas de la teoría del debido cuidado</w:t>
      </w:r>
    </w:p>
    <w:p>
      <w:pPr>
        <w:spacing w:before="0" w:after="160" w:line="360" w:lineRule="auto"/>
        <w:jc w:val="both"/>
        <w:rPr>
          <w:rFonts w:cs="Arial"/>
          <w:szCs w:val="24"/>
          <w:lang w:val="es-SV"/>
        </w:rPr>
      </w:pPr>
      <w:r>
        <w:rPr>
          <w:rFonts w:cs="Arial"/>
          <w:szCs w:val="24"/>
          <w:lang w:val="es-SV"/>
        </w:rPr>
        <w:t xml:space="preserve">Uno de los problemas de esta teoría es que no existe un criterio exacto para saber cuánto cuidado es “suficiente”, ni quién decide qué riesgo es aceptable. Para resolverlo, este protocolo toma como referencia mínima la Ley de Protección al Consumidor de El Salvador, las normas sanitarias del Ministerio de Salud y los reglamentos técnicos de calidad, y propone ir más allá de ellos cuando la seguridad del consumidor lo requiera.</w:t>
      </w:r>
    </w:p>
    <w:p>
      <w:pPr>
        <w:spacing w:before="240" w:after="160" w:line="360" w:lineRule="auto"/>
        <w:jc w:val="both"/>
        <w:rPr>
          <w:rFonts w:cs="Arial"/>
          <w:b/>
          <w:szCs w:val="24"/>
          <w:lang w:val="es-SV"/>
        </w:rPr>
      </w:pPr>
      <w:r>
        <w:rPr>
          <w:rFonts w:cs="Arial"/>
          <w:b/>
          <w:szCs w:val="24"/>
          <w:lang w:val="es-SV"/>
        </w:rPr>
        <w:t xml:space="preserve">Etapa 7. Mecanismos de aplicación y control</w:t>
      </w:r>
    </w:p>
    <w:p>
      <w:pPr>
        <w:spacing w:before="0" w:after="160" w:line="360" w:lineRule="auto"/>
        <w:jc w:val="both"/>
        <w:rPr>
          <w:rFonts w:cs="Arial"/>
          <w:szCs w:val="24"/>
          <w:lang w:val="es-SV"/>
        </w:rPr>
      </w:pPr>
      <w:r>
        <w:rPr>
          <w:rFonts w:cs="Arial"/>
          <w:b/>
          <w:szCs w:val="24"/>
          <w:lang w:val="es-SV"/>
        </w:rPr>
        <w:t xml:space="preserve">Acción 14. </w:t>
      </w:r>
      <w:r>
        <w:rPr>
          <w:rFonts w:cs="Arial"/>
          <w:szCs w:val="24"/>
          <w:lang w:val="es-SV"/>
        </w:rPr>
        <w:t xml:space="preserve">Designar a un responsable de calidad en cada sucursal que verifique el cumplimiento de este protocolo.</w:t>
      </w:r>
    </w:p>
    <w:p>
      <w:pPr>
        <w:spacing w:before="0" w:after="160" w:line="360" w:lineRule="auto"/>
        <w:jc w:val="both"/>
        <w:rPr>
          <w:rFonts w:cs="Arial"/>
          <w:szCs w:val="24"/>
          <w:lang w:val="es-SV"/>
        </w:rPr>
      </w:pPr>
      <w:r>
        <w:rPr>
          <w:rFonts w:cs="Arial"/>
          <w:b/>
          <w:szCs w:val="24"/>
          <w:lang w:val="es-SV"/>
        </w:rPr>
        <w:t xml:space="preserve">Acción 15. </w:t>
      </w:r>
      <w:r>
        <w:rPr>
          <w:rFonts w:cs="Arial"/>
          <w:szCs w:val="24"/>
          <w:lang w:val="es-SV"/>
        </w:rPr>
        <w:t xml:space="preserve">Capacitar cada seis meses al personal de bodega, sala de venta y atención al cliente sobre el debido cuidado y los derechos del consumidor.</w:t>
      </w:r>
    </w:p>
    <w:p>
      <w:pPr>
        <w:spacing w:before="0" w:after="160" w:line="360" w:lineRule="auto"/>
        <w:jc w:val="both"/>
        <w:rPr>
          <w:rFonts w:cs="Arial"/>
          <w:szCs w:val="24"/>
          <w:lang w:val="es-SV"/>
        </w:rPr>
      </w:pPr>
      <w:r>
        <w:rPr>
          <w:rFonts w:cs="Arial"/>
          <w:b/>
          <w:szCs w:val="24"/>
          <w:lang w:val="es-SV"/>
        </w:rPr>
        <w:t xml:space="preserve">Acción 16. </w:t>
      </w:r>
      <w:r>
        <w:rPr>
          <w:rFonts w:cs="Arial"/>
          <w:szCs w:val="24"/>
          <w:lang w:val="es-SV"/>
        </w:rPr>
        <w:t xml:space="preserve">Realizar revisiones mensuales de anaqueles y bodegas, y llevar un registro de los hallazgos y las medidas tomadas.</w:t>
      </w:r>
    </w:p>
    <w:p>
      <w:pPr>
        <w:spacing w:before="0" w:after="160" w:line="360" w:lineRule="auto"/>
        <w:jc w:val="both"/>
        <w:rPr>
          <w:rFonts w:cs="Arial"/>
          <w:szCs w:val="24"/>
          <w:lang w:val="es-SV"/>
        </w:rPr>
      </w:pPr>
      <w:r>
        <w:rPr>
          <w:rFonts w:cs="Arial"/>
          <w:b/>
          <w:szCs w:val="24"/>
          <w:lang w:val="es-SV"/>
        </w:rPr>
        <w:t xml:space="preserve">Acción 17. </w:t>
      </w:r>
      <w:r>
        <w:rPr>
          <w:rFonts w:cs="Arial"/>
          <w:szCs w:val="24"/>
          <w:lang w:val="es-SV"/>
        </w:rPr>
        <w:t xml:space="preserve">Colaborar con la Defensoría del Consumidor en la solución de reclamos y denuncias.</w:t>
      </w:r>
    </w:p>
    <w:p>
      <w:pPr>
        <w:spacing w:before="240" w:after="160" w:line="360" w:lineRule="auto"/>
        <w:jc w:val="both"/>
        <w:rPr>
          <w:rFonts w:cs="Arial"/>
          <w:b/>
          <w:szCs w:val="24"/>
          <w:lang w:val="es-SV"/>
        </w:rPr>
      </w:pPr>
      <w:r>
        <w:rPr>
          <w:rFonts w:cs="Arial"/>
          <w:b/>
          <w:szCs w:val="24"/>
          <w:lang w:val="es-SV"/>
        </w:rPr>
        <w:t xml:space="preserve">Conclusión</w:t>
      </w:r>
    </w:p>
    <w:p>
      <w:pPr>
        <w:spacing w:before="0" w:after="160" w:line="360" w:lineRule="auto"/>
        <w:jc w:val="both"/>
        <w:rPr>
          <w:rFonts w:cs="Arial"/>
          <w:szCs w:val="24"/>
          <w:lang w:val="es-SV"/>
        </w:rPr>
      </w:pPr>
      <w:r>
        <w:rPr>
          <w:rFonts w:cs="Arial"/>
          <w:szCs w:val="24"/>
          <w:lang w:val="es-SV"/>
        </w:rPr>
        <w:t xml:space="preserve">Aplicar la teoría del debido cuidado no solo protege la salud y la seguridad del consumidor, sino que también fortalece la confianza en la empresa. Un supermercado que vende productos seguros, informa con claridad y responde ante los problemas actúa de manera ética y gana la lealtad de sus clientes a largo plazo.</w:t>
      </w:r>
    </w:p>
    <w:sectPr w:rsidR="00DE4992" w:rsidRPr="00760CAE">
      <w:footerReference w:type="default" r:id="rId3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E5538" w14:textId="77777777" w:rsidR="007D41E8" w:rsidRDefault="007D41E8" w:rsidP="00B113E3">
      <w:pPr>
        <w:spacing w:after="0" w:line="240" w:lineRule="auto"/>
      </w:pPr>
      <w:r>
        <w:separator/>
      </w:r>
    </w:p>
  </w:endnote>
  <w:endnote w:type="continuationSeparator" w:id="0">
    <w:p w14:paraId="644942FA" w14:textId="77777777" w:rsidR="007D41E8" w:rsidRDefault="007D41E8" w:rsidP="00B113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9279404"/>
      <w:docPartObj>
        <w:docPartGallery w:val="Page Numbers (Bottom of Page)"/>
        <w:docPartUnique/>
      </w:docPartObj>
    </w:sdtPr>
    <w:sdtEndPr>
      <w:rPr>
        <w:sz w:val="16"/>
      </w:rPr>
    </w:sdtEndPr>
    <w:sdtContent>
      <w:p w14:paraId="4F5DF3D6" w14:textId="77777777" w:rsidR="00DE4992" w:rsidRDefault="00DE4992">
        <w:pPr>
          <w:pStyle w:val="Piedepgina"/>
          <w:jc w:val="right"/>
        </w:pPr>
      </w:p>
      <w:p w14:paraId="62602DEF" w14:textId="77777777" w:rsidR="00DE4992" w:rsidRDefault="00DE4992">
        <w:pPr>
          <w:pStyle w:val="Piedepgina"/>
          <w:jc w:val="right"/>
        </w:pPr>
      </w:p>
      <w:p w14:paraId="1ECF17D2" w14:textId="77777777" w:rsidR="00DE4992" w:rsidRPr="00042D28" w:rsidRDefault="00DE4992">
        <w:pPr>
          <w:pStyle w:val="Piedepgina"/>
          <w:jc w:val="right"/>
          <w:rPr>
            <w:sz w:val="20"/>
          </w:rPr>
        </w:pPr>
        <w:r w:rsidRPr="00042D28">
          <w:rPr>
            <w:sz w:val="20"/>
          </w:rPr>
          <w:fldChar w:fldCharType="begin"/>
        </w:r>
        <w:r w:rsidRPr="00042D28">
          <w:rPr>
            <w:sz w:val="20"/>
          </w:rPr>
          <w:instrText>PAGE   \* MERGEFORMAT</w:instrText>
        </w:r>
        <w:r w:rsidRPr="00042D28">
          <w:rPr>
            <w:sz w:val="20"/>
          </w:rPr>
          <w:fldChar w:fldCharType="separate"/>
        </w:r>
        <w:r w:rsidR="00F87335" w:rsidRPr="00F87335">
          <w:rPr>
            <w:noProof/>
            <w:sz w:val="20"/>
            <w:lang w:val="es-ES"/>
          </w:rPr>
          <w:t>3</w:t>
        </w:r>
        <w:r w:rsidRPr="00042D28">
          <w:rPr>
            <w:sz w:val="20"/>
          </w:rPr>
          <w:fldChar w:fldCharType="end"/>
        </w:r>
      </w:p>
    </w:sdtContent>
  </w:sdt>
  <w:p w14:paraId="09D19FA5" w14:textId="77777777" w:rsidR="00DE4992" w:rsidRDefault="00DE49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B5DD4" w14:textId="77777777" w:rsidR="007D41E8" w:rsidRDefault="007D41E8" w:rsidP="00B113E3">
      <w:pPr>
        <w:spacing w:after="0" w:line="240" w:lineRule="auto"/>
      </w:pPr>
      <w:r>
        <w:separator/>
      </w:r>
    </w:p>
  </w:footnote>
  <w:footnote w:type="continuationSeparator" w:id="0">
    <w:p w14:paraId="490EA7A2" w14:textId="77777777" w:rsidR="007D41E8" w:rsidRDefault="007D41E8" w:rsidP="00B113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DA8"/>
    <w:multiLevelType w:val="multilevel"/>
    <w:tmpl w:val="F67E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66265"/>
    <w:multiLevelType w:val="hybridMultilevel"/>
    <w:tmpl w:val="2DA4741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028C724D"/>
    <w:multiLevelType w:val="multilevel"/>
    <w:tmpl w:val="7E3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1461F"/>
    <w:multiLevelType w:val="multilevel"/>
    <w:tmpl w:val="8CE4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E028C"/>
    <w:multiLevelType w:val="multilevel"/>
    <w:tmpl w:val="E7CE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642EA"/>
    <w:multiLevelType w:val="multilevel"/>
    <w:tmpl w:val="798A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70CD4"/>
    <w:multiLevelType w:val="hybridMultilevel"/>
    <w:tmpl w:val="4F9C62F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047FB8"/>
    <w:multiLevelType w:val="multilevel"/>
    <w:tmpl w:val="1896A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2705DB"/>
    <w:multiLevelType w:val="multilevel"/>
    <w:tmpl w:val="A4CA5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E583D"/>
    <w:multiLevelType w:val="multilevel"/>
    <w:tmpl w:val="B560D1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C523ADF"/>
    <w:multiLevelType w:val="multilevel"/>
    <w:tmpl w:val="8944A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17AC4"/>
    <w:multiLevelType w:val="hybridMultilevel"/>
    <w:tmpl w:val="EE025FA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1E304219"/>
    <w:multiLevelType w:val="multilevel"/>
    <w:tmpl w:val="1BD28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006B1"/>
    <w:multiLevelType w:val="multilevel"/>
    <w:tmpl w:val="EC7A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D665E"/>
    <w:multiLevelType w:val="multilevel"/>
    <w:tmpl w:val="C602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D1A79"/>
    <w:multiLevelType w:val="multilevel"/>
    <w:tmpl w:val="8970EEB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626723"/>
    <w:multiLevelType w:val="multilevel"/>
    <w:tmpl w:val="10587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D92091"/>
    <w:multiLevelType w:val="multilevel"/>
    <w:tmpl w:val="3AF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50781D"/>
    <w:multiLevelType w:val="hybridMultilevel"/>
    <w:tmpl w:val="A2E48D7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7C1C80"/>
    <w:multiLevelType w:val="hybridMultilevel"/>
    <w:tmpl w:val="3BEE80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8002D4"/>
    <w:multiLevelType w:val="multilevel"/>
    <w:tmpl w:val="6164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8730B"/>
    <w:multiLevelType w:val="multilevel"/>
    <w:tmpl w:val="6EA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F95D6C"/>
    <w:multiLevelType w:val="multilevel"/>
    <w:tmpl w:val="7756C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5559D5"/>
    <w:multiLevelType w:val="multilevel"/>
    <w:tmpl w:val="FAEE1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F37D96"/>
    <w:multiLevelType w:val="multilevel"/>
    <w:tmpl w:val="7B9EB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82638"/>
    <w:multiLevelType w:val="multilevel"/>
    <w:tmpl w:val="C6A8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1A5541"/>
    <w:multiLevelType w:val="multilevel"/>
    <w:tmpl w:val="B47ED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602F54"/>
    <w:multiLevelType w:val="hybridMultilevel"/>
    <w:tmpl w:val="BCEE6B3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5303E5"/>
    <w:multiLevelType w:val="multilevel"/>
    <w:tmpl w:val="21366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DE5A9C"/>
    <w:multiLevelType w:val="multilevel"/>
    <w:tmpl w:val="D5CE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82D61"/>
    <w:multiLevelType w:val="multilevel"/>
    <w:tmpl w:val="59E8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BC4116"/>
    <w:multiLevelType w:val="multilevel"/>
    <w:tmpl w:val="52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D42FF4"/>
    <w:multiLevelType w:val="multilevel"/>
    <w:tmpl w:val="D03AF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C1386"/>
    <w:multiLevelType w:val="multilevel"/>
    <w:tmpl w:val="5A2A8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BD2607"/>
    <w:multiLevelType w:val="multilevel"/>
    <w:tmpl w:val="0F628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386F5F"/>
    <w:multiLevelType w:val="multilevel"/>
    <w:tmpl w:val="9904C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8031DB"/>
    <w:multiLevelType w:val="hybridMultilevel"/>
    <w:tmpl w:val="470040D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7" w15:restartNumberingAfterBreak="0">
    <w:nsid w:val="605278CD"/>
    <w:multiLevelType w:val="multilevel"/>
    <w:tmpl w:val="353E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55195"/>
    <w:multiLevelType w:val="multilevel"/>
    <w:tmpl w:val="F4A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722AE"/>
    <w:multiLevelType w:val="multilevel"/>
    <w:tmpl w:val="57D86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04200C"/>
    <w:multiLevelType w:val="multilevel"/>
    <w:tmpl w:val="569A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CA3E75"/>
    <w:multiLevelType w:val="hybridMultilevel"/>
    <w:tmpl w:val="7F42A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755D86"/>
    <w:multiLevelType w:val="multilevel"/>
    <w:tmpl w:val="3E06C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3D44A88"/>
    <w:multiLevelType w:val="multilevel"/>
    <w:tmpl w:val="0A52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D1426E"/>
    <w:multiLevelType w:val="multilevel"/>
    <w:tmpl w:val="825C6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38317C"/>
    <w:multiLevelType w:val="multilevel"/>
    <w:tmpl w:val="39D2B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5674843">
    <w:abstractNumId w:val="18"/>
  </w:num>
  <w:num w:numId="2" w16cid:durableId="1788769544">
    <w:abstractNumId w:val="6"/>
  </w:num>
  <w:num w:numId="3" w16cid:durableId="70858091">
    <w:abstractNumId w:val="27"/>
  </w:num>
  <w:num w:numId="4" w16cid:durableId="868951405">
    <w:abstractNumId w:val="19"/>
  </w:num>
  <w:num w:numId="5" w16cid:durableId="2059432056">
    <w:abstractNumId w:val="15"/>
  </w:num>
  <w:num w:numId="6" w16cid:durableId="615869784">
    <w:abstractNumId w:val="41"/>
  </w:num>
  <w:num w:numId="7" w16cid:durableId="458306322">
    <w:abstractNumId w:val="1"/>
  </w:num>
  <w:num w:numId="8" w16cid:durableId="1445921153">
    <w:abstractNumId w:val="36"/>
  </w:num>
  <w:num w:numId="9" w16cid:durableId="2132898263">
    <w:abstractNumId w:val="11"/>
  </w:num>
  <w:num w:numId="10" w16cid:durableId="1950817446">
    <w:abstractNumId w:val="16"/>
  </w:num>
  <w:num w:numId="11" w16cid:durableId="32704541">
    <w:abstractNumId w:val="24"/>
  </w:num>
  <w:num w:numId="12" w16cid:durableId="1029070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90939186">
    <w:abstractNumId w:val="12"/>
  </w:num>
  <w:num w:numId="14" w16cid:durableId="605769997">
    <w:abstractNumId w:val="44"/>
  </w:num>
  <w:num w:numId="15" w16cid:durableId="1528986582">
    <w:abstractNumId w:val="32"/>
  </w:num>
  <w:num w:numId="16" w16cid:durableId="1876961373">
    <w:abstractNumId w:val="34"/>
  </w:num>
  <w:num w:numId="17" w16cid:durableId="1050302693">
    <w:abstractNumId w:val="33"/>
  </w:num>
  <w:num w:numId="18" w16cid:durableId="1455054399">
    <w:abstractNumId w:val="7"/>
  </w:num>
  <w:num w:numId="19" w16cid:durableId="985862164">
    <w:abstractNumId w:val="23"/>
  </w:num>
  <w:num w:numId="20" w16cid:durableId="1812362327">
    <w:abstractNumId w:val="22"/>
  </w:num>
  <w:num w:numId="21" w16cid:durableId="281810508">
    <w:abstractNumId w:val="8"/>
  </w:num>
  <w:num w:numId="22" w16cid:durableId="289361630">
    <w:abstractNumId w:val="4"/>
  </w:num>
  <w:num w:numId="23" w16cid:durableId="1900440987">
    <w:abstractNumId w:val="37"/>
  </w:num>
  <w:num w:numId="24" w16cid:durableId="1319337094">
    <w:abstractNumId w:val="0"/>
  </w:num>
  <w:num w:numId="25" w16cid:durableId="337857000">
    <w:abstractNumId w:val="38"/>
  </w:num>
  <w:num w:numId="26" w16cid:durableId="520318225">
    <w:abstractNumId w:val="3"/>
  </w:num>
  <w:num w:numId="27" w16cid:durableId="2042587454">
    <w:abstractNumId w:val="10"/>
  </w:num>
  <w:num w:numId="28" w16cid:durableId="1047146968">
    <w:abstractNumId w:val="28"/>
  </w:num>
  <w:num w:numId="29" w16cid:durableId="22483147">
    <w:abstractNumId w:val="40"/>
  </w:num>
  <w:num w:numId="30" w16cid:durableId="236287515">
    <w:abstractNumId w:val="39"/>
  </w:num>
  <w:num w:numId="31" w16cid:durableId="132479905">
    <w:abstractNumId w:val="30"/>
  </w:num>
  <w:num w:numId="32" w16cid:durableId="1332181495">
    <w:abstractNumId w:val="17"/>
  </w:num>
  <w:num w:numId="33" w16cid:durableId="999652006">
    <w:abstractNumId w:val="25"/>
  </w:num>
  <w:num w:numId="34" w16cid:durableId="66152107">
    <w:abstractNumId w:val="45"/>
  </w:num>
  <w:num w:numId="35" w16cid:durableId="291982212">
    <w:abstractNumId w:val="20"/>
  </w:num>
  <w:num w:numId="36" w16cid:durableId="2130471129">
    <w:abstractNumId w:val="31"/>
  </w:num>
  <w:num w:numId="37" w16cid:durableId="692878108">
    <w:abstractNumId w:val="13"/>
  </w:num>
  <w:num w:numId="38" w16cid:durableId="1822575821">
    <w:abstractNumId w:val="26"/>
  </w:num>
  <w:num w:numId="39" w16cid:durableId="98839237">
    <w:abstractNumId w:val="14"/>
  </w:num>
  <w:num w:numId="40" w16cid:durableId="1634555228">
    <w:abstractNumId w:val="5"/>
  </w:num>
  <w:num w:numId="41" w16cid:durableId="324748504">
    <w:abstractNumId w:val="2"/>
  </w:num>
  <w:num w:numId="42" w16cid:durableId="1426538995">
    <w:abstractNumId w:val="35"/>
  </w:num>
  <w:num w:numId="43" w16cid:durableId="2075002032">
    <w:abstractNumId w:val="21"/>
  </w:num>
  <w:num w:numId="44" w16cid:durableId="892809964">
    <w:abstractNumId w:val="43"/>
  </w:num>
  <w:num w:numId="45" w16cid:durableId="768964985">
    <w:abstractNumId w:val="29"/>
  </w:num>
  <w:num w:numId="46" w16cid:durableId="155747362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727"/>
    <w:rsid w:val="00021BBC"/>
    <w:rsid w:val="00030D96"/>
    <w:rsid w:val="00042D28"/>
    <w:rsid w:val="000442DB"/>
    <w:rsid w:val="00070B3C"/>
    <w:rsid w:val="0009388F"/>
    <w:rsid w:val="00116C7F"/>
    <w:rsid w:val="0013703D"/>
    <w:rsid w:val="00140CFE"/>
    <w:rsid w:val="00150E3C"/>
    <w:rsid w:val="001E19C2"/>
    <w:rsid w:val="0022776A"/>
    <w:rsid w:val="00262EF7"/>
    <w:rsid w:val="002E6846"/>
    <w:rsid w:val="003366C3"/>
    <w:rsid w:val="00385102"/>
    <w:rsid w:val="0039362E"/>
    <w:rsid w:val="003959B9"/>
    <w:rsid w:val="003964F2"/>
    <w:rsid w:val="003F53FD"/>
    <w:rsid w:val="0043645D"/>
    <w:rsid w:val="00446513"/>
    <w:rsid w:val="00486DEC"/>
    <w:rsid w:val="004A1625"/>
    <w:rsid w:val="004A1A4D"/>
    <w:rsid w:val="004A325C"/>
    <w:rsid w:val="004A4335"/>
    <w:rsid w:val="00504176"/>
    <w:rsid w:val="00506C7D"/>
    <w:rsid w:val="00554D76"/>
    <w:rsid w:val="00564DAE"/>
    <w:rsid w:val="0060223F"/>
    <w:rsid w:val="00613CA8"/>
    <w:rsid w:val="00691A6F"/>
    <w:rsid w:val="006A71DF"/>
    <w:rsid w:val="006C21E2"/>
    <w:rsid w:val="006C41A6"/>
    <w:rsid w:val="006D6E0C"/>
    <w:rsid w:val="00706990"/>
    <w:rsid w:val="0073491B"/>
    <w:rsid w:val="00760CAE"/>
    <w:rsid w:val="007D3A15"/>
    <w:rsid w:val="007D41E8"/>
    <w:rsid w:val="00857705"/>
    <w:rsid w:val="00886012"/>
    <w:rsid w:val="008D267F"/>
    <w:rsid w:val="0091472A"/>
    <w:rsid w:val="00921E82"/>
    <w:rsid w:val="00941780"/>
    <w:rsid w:val="00991F7D"/>
    <w:rsid w:val="009A4393"/>
    <w:rsid w:val="009B2D9F"/>
    <w:rsid w:val="009D6889"/>
    <w:rsid w:val="00A05587"/>
    <w:rsid w:val="00A27432"/>
    <w:rsid w:val="00A44300"/>
    <w:rsid w:val="00A5504F"/>
    <w:rsid w:val="00A81C23"/>
    <w:rsid w:val="00A83C33"/>
    <w:rsid w:val="00AC3EF5"/>
    <w:rsid w:val="00B113E3"/>
    <w:rsid w:val="00CA63A1"/>
    <w:rsid w:val="00CB3C40"/>
    <w:rsid w:val="00CE0D34"/>
    <w:rsid w:val="00CF46D7"/>
    <w:rsid w:val="00CF742F"/>
    <w:rsid w:val="00D245E5"/>
    <w:rsid w:val="00D30556"/>
    <w:rsid w:val="00D46D70"/>
    <w:rsid w:val="00D92929"/>
    <w:rsid w:val="00DE4992"/>
    <w:rsid w:val="00E16180"/>
    <w:rsid w:val="00E35478"/>
    <w:rsid w:val="00E409C3"/>
    <w:rsid w:val="00E46727"/>
    <w:rsid w:val="00EB48E1"/>
    <w:rsid w:val="00ED0251"/>
    <w:rsid w:val="00EF215B"/>
    <w:rsid w:val="00F009F4"/>
    <w:rsid w:val="00F40768"/>
    <w:rsid w:val="00F4279C"/>
    <w:rsid w:val="00F87335"/>
    <w:rsid w:val="00FF1D74"/>
    <w:rsid w:val="00FF2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B78B8"/>
  <w15:chartTrackingRefBased/>
  <w15:docId w15:val="{952EA683-993A-4025-ADAE-290D4DD2B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D34"/>
    <w:pPr>
      <w:jc w:val="both"/>
    </w:pPr>
    <w:rPr>
      <w:rFonts w:ascii="Arial" w:hAnsi="Arial"/>
      <w:sz w:val="24"/>
    </w:rPr>
  </w:style>
  <w:style w:type="paragraph" w:styleId="Ttulo1">
    <w:name w:val="heading 1"/>
    <w:basedOn w:val="Normal"/>
    <w:next w:val="Normal"/>
    <w:link w:val="Ttulo1Car"/>
    <w:uiPriority w:val="9"/>
    <w:qFormat/>
    <w:rsid w:val="00F009F4"/>
    <w:pPr>
      <w:keepNext/>
      <w:keepLines/>
      <w:spacing w:before="240" w:after="0" w:line="240" w:lineRule="auto"/>
      <w:jc w:val="center"/>
      <w:outlineLvl w:val="0"/>
    </w:pPr>
    <w:rPr>
      <w:rFonts w:eastAsiaTheme="majorEastAsia" w:cstheme="majorBidi"/>
      <w:b/>
      <w:sz w:val="32"/>
      <w:szCs w:val="32"/>
      <w:lang w:val="es-ES"/>
    </w:rPr>
  </w:style>
  <w:style w:type="paragraph" w:styleId="Ttulo2">
    <w:name w:val="heading 2"/>
    <w:basedOn w:val="Normal"/>
    <w:next w:val="Normal"/>
    <w:link w:val="Ttulo2Car"/>
    <w:uiPriority w:val="1"/>
    <w:qFormat/>
    <w:rsid w:val="00CF46D7"/>
    <w:pPr>
      <w:keepNext/>
      <w:keepLines/>
      <w:spacing w:after="0" w:line="240" w:lineRule="auto"/>
      <w:jc w:val="left"/>
      <w:outlineLvl w:val="1"/>
    </w:pPr>
    <w:rPr>
      <w:rFonts w:eastAsiaTheme="majorEastAsia" w:cstheme="majorBidi"/>
      <w:b/>
      <w:szCs w:val="26"/>
      <w:lang w:val="es-ES"/>
    </w:rPr>
  </w:style>
  <w:style w:type="paragraph" w:styleId="Ttulo3">
    <w:name w:val="heading 3"/>
    <w:basedOn w:val="Normal"/>
    <w:next w:val="Normal"/>
    <w:link w:val="Ttulo3Car"/>
    <w:uiPriority w:val="9"/>
    <w:unhideWhenUsed/>
    <w:qFormat/>
    <w:rsid w:val="00991F7D"/>
    <w:pPr>
      <w:keepNext/>
      <w:keepLines/>
      <w:spacing w:before="40" w:after="0"/>
      <w:jc w:val="center"/>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EF215B"/>
    <w:pPr>
      <w:keepNext/>
      <w:keepLines/>
      <w:spacing w:before="40" w:after="0"/>
      <w:jc w:val="center"/>
      <w:outlineLvl w:val="3"/>
    </w:pPr>
    <w:rPr>
      <w:rFonts w:eastAsiaTheme="majorEastAsia" w:cstheme="majorBid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009F4"/>
    <w:rPr>
      <w:rFonts w:ascii="Arial" w:eastAsiaTheme="majorEastAsia" w:hAnsi="Arial" w:cstheme="majorBidi"/>
      <w:b/>
      <w:sz w:val="32"/>
      <w:szCs w:val="32"/>
      <w:lang w:val="es-ES"/>
    </w:rPr>
  </w:style>
  <w:style w:type="character" w:customStyle="1" w:styleId="Ttulo2Car">
    <w:name w:val="Título 2 Car"/>
    <w:basedOn w:val="Fuentedeprrafopredeter"/>
    <w:link w:val="Ttulo2"/>
    <w:uiPriority w:val="1"/>
    <w:rsid w:val="00CF46D7"/>
    <w:rPr>
      <w:rFonts w:ascii="Arial" w:eastAsiaTheme="majorEastAsia" w:hAnsi="Arial" w:cstheme="majorBidi"/>
      <w:b/>
      <w:sz w:val="24"/>
      <w:szCs w:val="26"/>
      <w:lang w:val="es-ES"/>
    </w:rPr>
  </w:style>
  <w:style w:type="paragraph" w:customStyle="1" w:styleId="Delimitadorgrfico">
    <w:name w:val="Delimitador gráfico"/>
    <w:basedOn w:val="Normal"/>
    <w:uiPriority w:val="7"/>
    <w:qFormat/>
    <w:rsid w:val="00F009F4"/>
    <w:pPr>
      <w:spacing w:after="0" w:line="240" w:lineRule="auto"/>
      <w:jc w:val="left"/>
    </w:pPr>
    <w:rPr>
      <w:rFonts w:asciiTheme="minorHAnsi" w:hAnsiTheme="minorHAnsi"/>
      <w:sz w:val="10"/>
      <w:szCs w:val="24"/>
      <w:lang w:val="es-ES"/>
    </w:rPr>
  </w:style>
  <w:style w:type="paragraph" w:styleId="Encabezado">
    <w:name w:val="header"/>
    <w:basedOn w:val="Normal"/>
    <w:link w:val="EncabezadoCar"/>
    <w:uiPriority w:val="99"/>
    <w:unhideWhenUsed/>
    <w:rsid w:val="00B113E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113E3"/>
    <w:rPr>
      <w:rFonts w:ascii="Arial" w:hAnsi="Arial"/>
      <w:sz w:val="24"/>
    </w:rPr>
  </w:style>
  <w:style w:type="paragraph" w:styleId="Piedepgina">
    <w:name w:val="footer"/>
    <w:basedOn w:val="Normal"/>
    <w:link w:val="PiedepginaCar"/>
    <w:uiPriority w:val="99"/>
    <w:unhideWhenUsed/>
    <w:rsid w:val="00B113E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113E3"/>
    <w:rPr>
      <w:rFonts w:ascii="Arial" w:hAnsi="Arial"/>
      <w:sz w:val="24"/>
    </w:rPr>
  </w:style>
  <w:style w:type="character" w:customStyle="1" w:styleId="Ttulo3Car">
    <w:name w:val="Título 3 Car"/>
    <w:basedOn w:val="Fuentedeprrafopredeter"/>
    <w:link w:val="Ttulo3"/>
    <w:uiPriority w:val="9"/>
    <w:rsid w:val="00991F7D"/>
    <w:rPr>
      <w:rFonts w:ascii="Arial" w:eastAsiaTheme="majorEastAsia" w:hAnsi="Arial" w:cstheme="majorBidi"/>
      <w:b/>
      <w:sz w:val="24"/>
      <w:szCs w:val="24"/>
    </w:rPr>
  </w:style>
  <w:style w:type="paragraph" w:styleId="Bibliografa">
    <w:name w:val="Bibliography"/>
    <w:basedOn w:val="Normal"/>
    <w:next w:val="Normal"/>
    <w:uiPriority w:val="37"/>
    <w:unhideWhenUsed/>
    <w:rsid w:val="002E6846"/>
  </w:style>
  <w:style w:type="character" w:customStyle="1" w:styleId="Ttulo4Car">
    <w:name w:val="Título 4 Car"/>
    <w:basedOn w:val="Fuentedeprrafopredeter"/>
    <w:link w:val="Ttulo4"/>
    <w:uiPriority w:val="9"/>
    <w:rsid w:val="00EF215B"/>
    <w:rPr>
      <w:rFonts w:ascii="Arial" w:eastAsiaTheme="majorEastAsia" w:hAnsi="Arial" w:cstheme="majorBidi"/>
      <w:iCs/>
      <w:sz w:val="24"/>
    </w:rPr>
  </w:style>
  <w:style w:type="paragraph" w:styleId="Prrafodelista">
    <w:name w:val="List Paragraph"/>
    <w:basedOn w:val="Normal"/>
    <w:uiPriority w:val="34"/>
    <w:qFormat/>
    <w:rsid w:val="006C41A6"/>
    <w:pPr>
      <w:ind w:left="720"/>
      <w:contextualSpacing/>
    </w:pPr>
  </w:style>
  <w:style w:type="paragraph" w:styleId="TtuloTDC">
    <w:name w:val="TOC Heading"/>
    <w:basedOn w:val="Ttulo1"/>
    <w:next w:val="Normal"/>
    <w:uiPriority w:val="39"/>
    <w:unhideWhenUsed/>
    <w:qFormat/>
    <w:rsid w:val="001E19C2"/>
    <w:pPr>
      <w:spacing w:line="259" w:lineRule="auto"/>
      <w:jc w:val="left"/>
      <w:outlineLvl w:val="9"/>
    </w:pPr>
    <w:rPr>
      <w:rFonts w:asciiTheme="majorHAnsi" w:hAnsiTheme="majorHAnsi"/>
      <w:b w:val="0"/>
      <w:color w:val="2E74B5" w:themeColor="accent1" w:themeShade="BF"/>
      <w:lang w:val="en-US"/>
    </w:rPr>
  </w:style>
  <w:style w:type="paragraph" w:styleId="TDC1">
    <w:name w:val="toc 1"/>
    <w:basedOn w:val="Normal"/>
    <w:next w:val="Normal"/>
    <w:autoRedefine/>
    <w:uiPriority w:val="39"/>
    <w:unhideWhenUsed/>
    <w:rsid w:val="001E19C2"/>
    <w:pPr>
      <w:tabs>
        <w:tab w:val="right" w:leader="dot" w:pos="8828"/>
      </w:tabs>
      <w:spacing w:after="100" w:line="360" w:lineRule="auto"/>
    </w:pPr>
  </w:style>
  <w:style w:type="paragraph" w:styleId="TDC2">
    <w:name w:val="toc 2"/>
    <w:basedOn w:val="Normal"/>
    <w:next w:val="Normal"/>
    <w:autoRedefine/>
    <w:uiPriority w:val="39"/>
    <w:unhideWhenUsed/>
    <w:rsid w:val="001E19C2"/>
    <w:pPr>
      <w:spacing w:after="100"/>
      <w:ind w:left="240"/>
    </w:pPr>
  </w:style>
  <w:style w:type="paragraph" w:styleId="TDC3">
    <w:name w:val="toc 3"/>
    <w:basedOn w:val="Normal"/>
    <w:next w:val="Normal"/>
    <w:autoRedefine/>
    <w:uiPriority w:val="39"/>
    <w:unhideWhenUsed/>
    <w:rsid w:val="001E19C2"/>
    <w:pPr>
      <w:spacing w:after="100"/>
      <w:ind w:left="480"/>
    </w:pPr>
  </w:style>
  <w:style w:type="character" w:styleId="Hipervnculo">
    <w:name w:val="Hyperlink"/>
    <w:basedOn w:val="Fuentedeprrafopredeter"/>
    <w:uiPriority w:val="99"/>
    <w:unhideWhenUsed/>
    <w:rsid w:val="001E19C2"/>
    <w:rPr>
      <w:color w:val="0563C1" w:themeColor="hyperlink"/>
      <w:u w:val="single"/>
    </w:rPr>
  </w:style>
  <w:style w:type="table" w:styleId="Tablaconcuadrcula">
    <w:name w:val="Table Grid"/>
    <w:basedOn w:val="Tablanormal"/>
    <w:uiPriority w:val="39"/>
    <w:rsid w:val="004A16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9A43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559242">
      <w:bodyDiv w:val="1"/>
      <w:marLeft w:val="0"/>
      <w:marRight w:val="0"/>
      <w:marTop w:val="0"/>
      <w:marBottom w:val="0"/>
      <w:divBdr>
        <w:top w:val="none" w:sz="0" w:space="0" w:color="auto"/>
        <w:left w:val="none" w:sz="0" w:space="0" w:color="auto"/>
        <w:bottom w:val="none" w:sz="0" w:space="0" w:color="auto"/>
        <w:right w:val="none" w:sz="0" w:space="0" w:color="auto"/>
      </w:divBdr>
    </w:div>
    <w:div w:id="515845475">
      <w:bodyDiv w:val="1"/>
      <w:marLeft w:val="0"/>
      <w:marRight w:val="0"/>
      <w:marTop w:val="0"/>
      <w:marBottom w:val="0"/>
      <w:divBdr>
        <w:top w:val="none" w:sz="0" w:space="0" w:color="auto"/>
        <w:left w:val="none" w:sz="0" w:space="0" w:color="auto"/>
        <w:bottom w:val="none" w:sz="0" w:space="0" w:color="auto"/>
        <w:right w:val="none" w:sz="0" w:space="0" w:color="auto"/>
      </w:divBdr>
    </w:div>
    <w:div w:id="757210530">
      <w:bodyDiv w:val="1"/>
      <w:marLeft w:val="0"/>
      <w:marRight w:val="0"/>
      <w:marTop w:val="0"/>
      <w:marBottom w:val="0"/>
      <w:divBdr>
        <w:top w:val="none" w:sz="0" w:space="0" w:color="auto"/>
        <w:left w:val="none" w:sz="0" w:space="0" w:color="auto"/>
        <w:bottom w:val="none" w:sz="0" w:space="0" w:color="auto"/>
        <w:right w:val="none" w:sz="0" w:space="0" w:color="auto"/>
      </w:divBdr>
    </w:div>
    <w:div w:id="1165127830">
      <w:bodyDiv w:val="1"/>
      <w:marLeft w:val="0"/>
      <w:marRight w:val="0"/>
      <w:marTop w:val="0"/>
      <w:marBottom w:val="0"/>
      <w:divBdr>
        <w:top w:val="none" w:sz="0" w:space="0" w:color="auto"/>
        <w:left w:val="none" w:sz="0" w:space="0" w:color="auto"/>
        <w:bottom w:val="none" w:sz="0" w:space="0" w:color="auto"/>
        <w:right w:val="none" w:sz="0" w:space="0" w:color="auto"/>
      </w:divBdr>
    </w:div>
    <w:div w:id="1188371599">
      <w:bodyDiv w:val="1"/>
      <w:marLeft w:val="0"/>
      <w:marRight w:val="0"/>
      <w:marTop w:val="0"/>
      <w:marBottom w:val="0"/>
      <w:divBdr>
        <w:top w:val="none" w:sz="0" w:space="0" w:color="auto"/>
        <w:left w:val="none" w:sz="0" w:space="0" w:color="auto"/>
        <w:bottom w:val="none" w:sz="0" w:space="0" w:color="auto"/>
        <w:right w:val="none" w:sz="0" w:space="0" w:color="auto"/>
      </w:divBdr>
    </w:div>
    <w:div w:id="1304195164">
      <w:bodyDiv w:val="1"/>
      <w:marLeft w:val="0"/>
      <w:marRight w:val="0"/>
      <w:marTop w:val="0"/>
      <w:marBottom w:val="0"/>
      <w:divBdr>
        <w:top w:val="none" w:sz="0" w:space="0" w:color="auto"/>
        <w:left w:val="none" w:sz="0" w:space="0" w:color="auto"/>
        <w:bottom w:val="none" w:sz="0" w:space="0" w:color="auto"/>
        <w:right w:val="none" w:sz="0" w:space="0" w:color="auto"/>
      </w:divBdr>
    </w:div>
    <w:div w:id="1312297528">
      <w:bodyDiv w:val="1"/>
      <w:marLeft w:val="0"/>
      <w:marRight w:val="0"/>
      <w:marTop w:val="0"/>
      <w:marBottom w:val="0"/>
      <w:divBdr>
        <w:top w:val="none" w:sz="0" w:space="0" w:color="auto"/>
        <w:left w:val="none" w:sz="0" w:space="0" w:color="auto"/>
        <w:bottom w:val="none" w:sz="0" w:space="0" w:color="auto"/>
        <w:right w:val="none" w:sz="0" w:space="0" w:color="auto"/>
      </w:divBdr>
    </w:div>
    <w:div w:id="1378748000">
      <w:bodyDiv w:val="1"/>
      <w:marLeft w:val="0"/>
      <w:marRight w:val="0"/>
      <w:marTop w:val="0"/>
      <w:marBottom w:val="0"/>
      <w:divBdr>
        <w:top w:val="none" w:sz="0" w:space="0" w:color="auto"/>
        <w:left w:val="none" w:sz="0" w:space="0" w:color="auto"/>
        <w:bottom w:val="none" w:sz="0" w:space="0" w:color="auto"/>
        <w:right w:val="none" w:sz="0" w:space="0" w:color="auto"/>
      </w:divBdr>
    </w:div>
    <w:div w:id="1664620636">
      <w:bodyDiv w:val="1"/>
      <w:marLeft w:val="0"/>
      <w:marRight w:val="0"/>
      <w:marTop w:val="0"/>
      <w:marBottom w:val="0"/>
      <w:divBdr>
        <w:top w:val="none" w:sz="0" w:space="0" w:color="auto"/>
        <w:left w:val="none" w:sz="0" w:space="0" w:color="auto"/>
        <w:bottom w:val="none" w:sz="0" w:space="0" w:color="auto"/>
        <w:right w:val="none" w:sz="0" w:space="0" w:color="auto"/>
      </w:divBdr>
    </w:div>
    <w:div w:id="1903951937">
      <w:bodyDiv w:val="1"/>
      <w:marLeft w:val="0"/>
      <w:marRight w:val="0"/>
      <w:marTop w:val="0"/>
      <w:marBottom w:val="0"/>
      <w:divBdr>
        <w:top w:val="none" w:sz="0" w:space="0" w:color="auto"/>
        <w:left w:val="none" w:sz="0" w:space="0" w:color="auto"/>
        <w:bottom w:val="none" w:sz="0" w:space="0" w:color="auto"/>
        <w:right w:val="none" w:sz="0" w:space="0" w:color="auto"/>
      </w:divBdr>
    </w:div>
    <w:div w:id="1965693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 /><Relationship Id="rId13" Type="http://schemas.openxmlformats.org/officeDocument/2006/relationships/hyperlink" Target="mailto:iz21001@ues.edu.sv" TargetMode="External" /><Relationship Id="rId18" Type="http://schemas.openxmlformats.org/officeDocument/2006/relationships/image" Target="media/image7.jpeg" /><Relationship Id="rId26" Type="http://schemas.openxmlformats.org/officeDocument/2006/relationships/hyperlink" Target="https://doi.org/10.1186/s40991-016-0004-6" TargetMode="External" /><Relationship Id="rId3" Type="http://schemas.openxmlformats.org/officeDocument/2006/relationships/styles" Target="styles.xml" /><Relationship Id="rId21" Type="http://schemas.openxmlformats.org/officeDocument/2006/relationships/hyperlink" Target="https://doi.org/10.1016/j.obhdp.2005.03.002" TargetMode="External" /><Relationship Id="rId34" Type="http://schemas.openxmlformats.org/officeDocument/2006/relationships/fontTable" Target="fontTable.xml" /><Relationship Id="rId7" Type="http://schemas.openxmlformats.org/officeDocument/2006/relationships/endnotes" Target="endnotes.xml" /><Relationship Id="rId12" Type="http://schemas.openxmlformats.org/officeDocument/2006/relationships/hyperlink" Target="mailto:hp23019@ues.edu.sv" TargetMode="External" /><Relationship Id="rId17" Type="http://schemas.openxmlformats.org/officeDocument/2006/relationships/image" Target="media/image6.jpeg" /><Relationship Id="rId25" Type="http://schemas.openxmlformats.org/officeDocument/2006/relationships/hyperlink" Target="https://doi.org/10.1016/j.obhdp.2005.03.002" TargetMode="External" /><Relationship Id="rId33" Type="http://schemas.openxmlformats.org/officeDocument/2006/relationships/footer" Target="footer1.xml" /><Relationship Id="rId2" Type="http://schemas.openxmlformats.org/officeDocument/2006/relationships/numbering" Target="numbering.xml" /><Relationship Id="rId16" Type="http://schemas.openxmlformats.org/officeDocument/2006/relationships/image" Target="media/image5.jpeg" /><Relationship Id="rId20" Type="http://schemas.openxmlformats.org/officeDocument/2006/relationships/hyperlink" Target="https://www.google.com/search?q=https://www.ama.org/cop-statement-of-ethics/" TargetMode="External" /><Relationship Id="rId29" Type="http://schemas.openxmlformats.org/officeDocument/2006/relationships/hyperlink" Target="https://www.oecd.org/content/dam/oecd/en/publications/reports/2018/02/oecd-due-diligence-guidance-for-responsible-business-conduct_c669bd57/15f5f4b3-en.pdf" TargetMode="Externa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hyperlink" Target="mailto:hc21041@ues.edu.sv" TargetMode="External" /><Relationship Id="rId24" Type="http://schemas.openxmlformats.org/officeDocument/2006/relationships/hyperlink" Target="https://www.google.com/search?q=https://doi.org/10.1787/ed723392-en" TargetMode="External" /><Relationship Id="rId32" Type="http://schemas.openxmlformats.org/officeDocument/2006/relationships/image" Target="media/image9.emf" /><Relationship Id="rId5" Type="http://schemas.openxmlformats.org/officeDocument/2006/relationships/webSettings" Target="webSettings.xml" /><Relationship Id="rId15" Type="http://schemas.openxmlformats.org/officeDocument/2006/relationships/image" Target="media/image4.jpeg" /><Relationship Id="rId23" Type="http://schemas.openxmlformats.org/officeDocument/2006/relationships/hyperlink" Target="https://www.google.com/search?q=https://doi.org/10.1162/99608f92.8cd550d3" TargetMode="External" /><Relationship Id="rId28" Type="http://schemas.openxmlformats.org/officeDocument/2006/relationships/hyperlink" Target="https://www.ilo.org/publications/protection-workers%E2%80%99-personal-data-general-principles" TargetMode="External" /><Relationship Id="rId10" Type="http://schemas.openxmlformats.org/officeDocument/2006/relationships/hyperlink" Target="mailto:hf06005@ues.edu.sv" TargetMode="External" /><Relationship Id="rId19" Type="http://schemas.openxmlformats.org/officeDocument/2006/relationships/image" Target="media/image8.jpg" /><Relationship Id="rId31" Type="http://schemas.openxmlformats.org/officeDocument/2006/relationships/hyperlink" Target="https://www.jurisprudencia.gob.sv/DocumentosBoveda/D/2/2000-2009/2000/12/886E5.PDF" TargetMode="External" /><Relationship Id="rId4" Type="http://schemas.openxmlformats.org/officeDocument/2006/relationships/settings" Target="settings.xml" /><Relationship Id="rId9" Type="http://schemas.openxmlformats.org/officeDocument/2006/relationships/image" Target="media/image2.png" /><Relationship Id="rId14" Type="http://schemas.openxmlformats.org/officeDocument/2006/relationships/image" Target="media/image3.jpeg" /><Relationship Id="rId22" Type="http://schemas.openxmlformats.org/officeDocument/2006/relationships/hyperlink" Target="https://doi.org/10.1186/s40991-016-0004-6" TargetMode="External" /><Relationship Id="rId27" Type="http://schemas.openxmlformats.org/officeDocument/2006/relationships/hyperlink" Target="https://www.google.com/search?q=https://doi.org/10.1787/ed723392-en" TargetMode="External" /><Relationship Id="rId30" Type="http://schemas.openxmlformats.org/officeDocument/2006/relationships/hyperlink" Target="https://www.asamblea.gob.sv/sites/default/files/documents/decretos/171117_072920482_archivo_documento_legislativo.pdf" TargetMode="External" /><Relationship Id="rId35"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Mel26</b:Tag>
    <b:SourceType>InternetSite</b:SourceType>
    <b:Guid>{157F665D-B1D5-4D88-B2A7-5916921E9511}</b:Guid>
    <b:Title>Contract Corridor</b:Title>
    <b:Year>2026</b:Year>
    <b:Author>
      <b:Author>
        <b:NameList>
          <b:Person>
            <b:Last>Jooste</b:Last>
            <b:First>Melissa</b:First>
          </b:Person>
        </b:NameList>
      </b:Author>
    </b:Author>
    <b:InternetSiteTitle>Contract Corridor</b:InternetSiteTitle>
    <b:URL>https://contractcorridor.com/clauselibrary/what-is-a-preamble-a-simple-guide-for-contracts/</b:URL>
    <b:RefOrder>1</b:RefOrder>
  </b:Source>
  <b:Source>
    <b:Tag>Asa02</b:Tag>
    <b:SourceType>DocumentFromInternetSite</b:SourceType>
    <b:Guid>{A4DD6035-353C-4A0A-9E51-FDBF6C87E686}</b:Guid>
    <b:Title>asamblea.gob.sv</b:Title>
    <b:InternetSiteTitle>asamblea.gob.sv</b:InternetSiteTitle>
    <b:Year>2002</b:Year>
    <b:Month>noviembre</b:Month>
    <b:Day>14</b:Day>
    <b:URL>https://www.asamblea.gob.sv/sites/default/files/documents/decretos/5F8389E4-D6DC-40CC-A6B9-1C4E9CF0CB49.pdf</b:URL>
    <b:Author>
      <b:Author>
        <b:NameList>
          <b:Person>
            <b:Last>Salvador</b:Last>
            <b:First>Asamblea</b:First>
            <b:Middle>Legislativa de El</b:Middle>
          </b:Person>
        </b:NameList>
      </b:Author>
    </b:Author>
    <b:RefOrder>2</b:RefOrder>
  </b:Source>
  <b:Source>
    <b:Tag>Rio24</b:Tag>
    <b:SourceType>InternetSite</b:SourceType>
    <b:Guid>{1C042CE2-8AC6-4EF3-A33B-8D21587325EE}</b:Guid>
    <b:Title>prezi.com</b:Title>
    <b:InternetSiteTitle>prezi.com</b:InternetSiteTitle>
    <b:Year>2024</b:Year>
    <b:Month>septiembre</b:Month>
    <b:Day>20</b:Day>
    <b:URL>https://prezi.com/p/eyjiy3bc2lsi/disposiciones-generales/</b:URL>
    <b:Author>
      <b:Author>
        <b:NameList>
          <b:Person>
            <b:Last>Jara</b:Last>
            <b:First>Rio</b:First>
          </b:Person>
        </b:NameList>
      </b:Author>
    </b:Author>
    <b:RefOrder>3</b:RefOrder>
  </b:Source>
  <b:Source>
    <b:Tag>Hug24</b:Tag>
    <b:SourceType>InternetSite</b:SourceType>
    <b:Guid>{D0762051-20EC-43A5-BB8C-2A22F15729A5}</b:Guid>
    <b:Author>
      <b:Author>
        <b:NameList>
          <b:Person>
            <b:Last>Pereira</b:Last>
            <b:First>Hugo</b:First>
          </b:Person>
        </b:NameList>
      </b:Author>
    </b:Author>
    <b:Title>LinkiaFP</b:Title>
    <b:InternetSiteTitle>LinkiaFP</b:InternetSiteTitle>
    <b:Year>2024</b:Year>
    <b:Month>octubre</b:Month>
    <b:Day>14</b:Day>
    <b:URL>https://linkiafp.es/blog/que-es-administracion-y-gestion-de-empresas/</b:URL>
    <b:RefOrder>4</b:RefOrder>
  </b:Source>
  <b:Source>
    <b:Tag>EDU26</b:Tag>
    <b:SourceType>InternetSite</b:SourceType>
    <b:Guid>{B71FA9F5-216A-4C33-9F3A-BB77FCC185F8}</b:Guid>
    <b:Author>
      <b:Author>
        <b:NameList>
          <b:Person>
            <b:Last>GROUP</b:Last>
            <b:First>EDUCA</b:First>
            <b:Middle>EDTECH</b:Middle>
          </b:Person>
        </b:NameList>
      </b:Author>
    </b:Author>
    <b:Title>rededuca.net</b:Title>
    <b:InternetSiteTitle>rededuca.net</b:InternetSiteTitle>
    <b:Year>2026</b:Year>
    <b:URL>https://www.rededuca.net/contexto-educativo/e/etica-profesional</b:URL>
    <b:RefOrder>5</b:RefOrder>
  </b:Source>
  <b:Source>
    <b:Tag>Dic25</b:Tag>
    <b:SourceType>InternetSite</b:SourceType>
    <b:Guid>{BF6925D6-75CF-4F61-893A-E91682792496}</b:Guid>
    <b:Author>
      <b:Author>
        <b:NameList>
          <b:Person>
            <b:Last>Jurídico</b:Last>
            <b:First>Diccionario</b:First>
            <b:Middle>Panhispánico del Español</b:Middle>
          </b:Person>
        </b:NameList>
      </b:Author>
    </b:Author>
    <b:Title>dpej.rae.es</b:Title>
    <b:InternetSiteTitle>dpej.rae.es</b:InternetSiteTitle>
    <b:Year>2025</b:Year>
    <b:URL>https://dpej.rae.es/lema/ejercicio-profesional</b:URL>
    <b:RefOrder>6</b:RefOrder>
  </b:Source>
  <b:Source>
    <b:Tag>Uni252</b:Tag>
    <b:SourceType>InternetSite</b:SourceType>
    <b:Guid>{3106AC2F-4F04-4335-A205-4CEE0BCC4ED9}</b:Guid>
    <b:Author>
      <b:Author>
        <b:NameList>
          <b:Person>
            <b:Last>Europea</b:Last>
            <b:First>Universidad</b:First>
          </b:Person>
        </b:NameList>
      </b:Author>
    </b:Author>
    <b:Title>universidadeuropea.com</b:Title>
    <b:InternetSiteTitle>universidadeuropea.com</b:InternetSiteTitle>
    <b:Year>2025</b:Year>
    <b:Month>diciembre</b:Month>
    <b:Day>30</b:Day>
    <b:URL>https://universidadeuropea.com/blog/conflicto-intereses/</b:URL>
    <b:RefOrder>7</b:RefOrder>
  </b:Source>
  <b:Source>
    <b:Tag>Kim26</b:Tag>
    <b:SourceType>InternetSite</b:SourceType>
    <b:Guid>{8C6C0DDC-5E26-4B28-9ADB-A573E292B5B2}</b:Guid>
    <b:Author>
      <b:Author>
        <b:NameList>
          <b:Person>
            <b:Last>Ríos</b:Last>
            <b:First>Kimberlein</b:First>
          </b:Person>
        </b:NameList>
      </b:Author>
    </b:Author>
    <b:Title>Payfit</b:Title>
    <b:InternetSiteTitle>Payfit</b:InternetSiteTitle>
    <b:Year>2026</b:Year>
    <b:Month>enero</b:Month>
    <b:Day>28</b:Day>
    <b:URL>https://payfit.com/es/contenido-practico/confidencialidad-empresa/</b:URL>
    <b:RefOrder>8</b:RefOrder>
  </b:Source>
  <b:Source>
    <b:Tag>Mar26</b:Tag>
    <b:SourceType>Misc</b:SourceType>
    <b:Guid>{5A58E3DC-F46A-4917-AE26-F56CF926ED95}</b:Guid>
    <b:Title>La Ética en la Empresa</b:Title>
    <b:Year>2026</b:Year>
    <b:Month>Ciclo II</b:Month>
    <b:Publisher>Universidad de El Salvador, Lic. Vitelio Henríquez Menjivar</b:Publisher>
    <b:City>San Salvador</b:City>
    <b:PublicationTitle>Material de clase: Estrategias para la toma de decisiones</b:PublicationTitle>
    <b:Author>
      <b:Author>
        <b:NameList>
          <b:Person>
            <b:Last>Brown</b:Last>
            <b:First>Marvin</b:First>
            <b:Middle>T.</b:Middle>
          </b:Person>
        </b:NameList>
      </b:Author>
    </b:Author>
    <b:RefOrder>9</b:RefOrder>
  </b:Source>
</b:Sources>
</file>

<file path=customXml/itemProps1.xml><?xml version="1.0" encoding="utf-8"?>
<ds:datastoreItem xmlns:ds="http://schemas.openxmlformats.org/officeDocument/2006/customXml" ds:itemID="{489B2F3F-E0CC-4744-937E-FFDB6F2F319F}">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21697</Words>
  <Characters>119338</Characters>
  <Application>Microsoft Office Word</Application>
  <DocSecurity>0</DocSecurity>
  <Lines>994</Lines>
  <Paragraphs>281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Hernández</dc:creator>
  <cp:keywords/>
  <dc:description/>
  <cp:lastModifiedBy>Emerson panameno</cp:lastModifiedBy>
  <cp:revision>2</cp:revision>
  <dcterms:created xsi:type="dcterms:W3CDTF">2026-10-21T23:21:00Z</dcterms:created>
  <dcterms:modified xsi:type="dcterms:W3CDTF">2026-10-21T23:21:00Z</dcterms:modified>
</cp:coreProperties>
</file>