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w:t>
      </w:r>
    </w:p>
    <w:p>
      <w:pPr>
        <w:jc w:val="center"/>
      </w:pPr>
      <w:r>
        <w:rPr>
          <w:b/>
          <w:sz w:val="30"/>
        </w:rPr>
        <w:t>MASTER ERP BLUEPRINT</w:t>
        <w:br/>
        <w:t>v1.5 — HACKATHON IMPLEMENTATION BASELINE</w:t>
      </w:r>
    </w:p>
    <w:p>
      <w:pPr>
        <w:jc w:val="center"/>
      </w:pPr>
      <w:r>
        <w:rPr>
          <w:i/>
        </w:rPr>
        <w:t>Industrial Quality &amp; Traceability ERP</w:t>
        <w:br/>
        <w:t>ERP Operating Layer • Independent Verification Layer</w:t>
      </w:r>
    </w:p>
    <w:p>
      <w:pPr>
        <w:jc w:val="center"/>
      </w:pPr>
      <w:r>
        <w:rPr>
          <w:b/>
        </w:rPr>
        <w:t>STATUS: IMPLEMENTATION BASELINE — REVIEW CLOSURES APPLIED</w:t>
      </w:r>
    </w:p>
    <w:p>
      <w:pPr>
        <w:pStyle w:val="Heading1"/>
      </w:pPr>
      <w:r>
        <w:t>1. Revision Summary</w:t>
      </w:r>
    </w:p>
    <w:p>
      <w:r>
        <w:t>v1.5 applies the final review closures identified during the v1.4 review. The existing v1.4 domain and implementation contracts are preserved. This revision adds explicit implementation clarifications rather than reopening the product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sz w:val="16"/>
              </w:rPr>
              <w:t>Finding / Gap</w:t>
            </w:r>
          </w:p>
        </w:tc>
        <w:tc>
          <w:tcPr>
            <w:tcW w:type="dxa" w:w="3408"/>
            <w:shd w:fill="17365D"/>
          </w:tcPr>
          <w:p>
            <w:r>
              <w:rPr>
                <w:b/>
                <w:sz w:val="16"/>
              </w:rPr>
              <w:t>v1.5 Closure</w:t>
            </w:r>
          </w:p>
        </w:tc>
        <w:tc>
          <w:tcPr>
            <w:tcW w:type="dxa" w:w="3408"/>
            <w:shd w:fill="17365D"/>
          </w:tcPr>
          <w:p>
            <w:r>
              <w:rPr>
                <w:b/>
                <w:sz w:val="16"/>
              </w:rPr>
              <w:t>Status</w:t>
            </w:r>
          </w:p>
        </w:tc>
      </w:tr>
      <w:tr>
        <w:tc>
          <w:tcPr>
            <w:tcW w:type="dxa" w:w="3408"/>
            <w:vAlign w:val="center"/>
          </w:tcPr>
          <w:p>
            <w:r>
              <w:rPr>
                <w:sz w:val="15"/>
              </w:rPr>
              <w:t>Architecture diagram references</w:t>
            </w:r>
          </w:p>
        </w:tc>
        <w:tc>
          <w:tcPr>
            <w:tcW w:type="dxa" w:w="3408"/>
            <w:vAlign w:val="center"/>
          </w:tcPr>
          <w:p>
            <w:r>
              <w:rPr>
                <w:sz w:val="15"/>
              </w:rPr>
              <w:t>Diagram specifications and required visual boundaries explicitly defined in this document.</w:t>
            </w:r>
          </w:p>
        </w:tc>
        <w:tc>
          <w:tcPr>
            <w:tcW w:type="dxa" w:w="3408"/>
            <w:vAlign w:val="center"/>
          </w:tcPr>
          <w:p>
            <w:r>
              <w:rPr>
                <w:sz w:val="15"/>
              </w:rPr>
              <w:t>CLOSED</w:t>
            </w:r>
          </w:p>
        </w:tc>
      </w:tr>
      <w:tr>
        <w:tc>
          <w:tcPr>
            <w:tcW w:type="dxa" w:w="3408"/>
            <w:vAlign w:val="center"/>
          </w:tcPr>
          <w:p>
            <w:r>
              <w:rPr>
                <w:sz w:val="15"/>
              </w:rPr>
              <w:t>Public vs private evidence verification</w:t>
            </w:r>
          </w:p>
        </w:tc>
        <w:tc>
          <w:tcPr>
            <w:tcW w:type="dxa" w:w="3408"/>
            <w:vAlign w:val="center"/>
          </w:tcPr>
          <w:p>
            <w:r>
              <w:rPr>
                <w:sz w:val="15"/>
              </w:rPr>
              <w:t>Public verification checks proof commitment/revocation; file-level verification is optional and user-initiated.</w:t>
            </w:r>
          </w:p>
        </w:tc>
        <w:tc>
          <w:tcPr>
            <w:tcW w:type="dxa" w:w="3408"/>
            <w:vAlign w:val="center"/>
          </w:tcPr>
          <w:p>
            <w:r>
              <w:rPr>
                <w:sz w:val="15"/>
              </w:rPr>
              <w:t>CLOSED</w:t>
            </w:r>
          </w:p>
        </w:tc>
      </w:tr>
      <w:tr>
        <w:tc>
          <w:tcPr>
            <w:tcW w:type="dxa" w:w="3408"/>
            <w:vAlign w:val="center"/>
          </w:tcPr>
          <w:p>
            <w:r>
              <w:rPr>
                <w:sz w:val="15"/>
              </w:rPr>
              <w:t>Canonical serialization</w:t>
            </w:r>
          </w:p>
        </w:tc>
        <w:tc>
          <w:tcPr>
            <w:tcW w:type="dxa" w:w="3408"/>
            <w:vAlign w:val="center"/>
          </w:tcPr>
          <w:p>
            <w:r>
              <w:rPr>
                <w:sz w:val="15"/>
              </w:rPr>
              <w:t>Canonicalization version, deterministic ordering, UTC timestamps, and raw SHA-256 digest rule are explicit.</w:t>
            </w:r>
          </w:p>
        </w:tc>
        <w:tc>
          <w:tcPr>
            <w:tcW w:type="dxa" w:w="3408"/>
            <w:vAlign w:val="center"/>
          </w:tcPr>
          <w:p>
            <w:r>
              <w:rPr>
                <w:sz w:val="15"/>
              </w:rPr>
              <w:t>CLOSED</w:t>
            </w:r>
          </w:p>
        </w:tc>
      </w:tr>
      <w:tr>
        <w:tc>
          <w:tcPr>
            <w:tcW w:type="dxa" w:w="3408"/>
            <w:vAlign w:val="center"/>
          </w:tcPr>
          <w:p>
            <w:r>
              <w:rPr>
                <w:sz w:val="15"/>
              </w:rPr>
              <w:t>Smart-contract interface</w:t>
            </w:r>
          </w:p>
        </w:tc>
        <w:tc>
          <w:tcPr>
            <w:tcW w:type="dxa" w:w="3408"/>
            <w:vAlign w:val="center"/>
          </w:tcPr>
          <w:p>
            <w:r>
              <w:rPr>
                <w:sz w:val="15"/>
              </w:rPr>
              <w:t>Function signatures, events, invariants, and error behavior are explicitly frozen.</w:t>
            </w:r>
          </w:p>
        </w:tc>
        <w:tc>
          <w:tcPr>
            <w:tcW w:type="dxa" w:w="3408"/>
            <w:vAlign w:val="center"/>
          </w:tcPr>
          <w:p>
            <w:r>
              <w:rPr>
                <w:sz w:val="15"/>
              </w:rPr>
              <w:t>CLOSED</w:t>
            </w:r>
          </w:p>
        </w:tc>
      </w:tr>
      <w:tr>
        <w:tc>
          <w:tcPr>
            <w:tcW w:type="dxa" w:w="3408"/>
            <w:vAlign w:val="center"/>
          </w:tcPr>
          <w:p>
            <w:r>
              <w:rPr>
                <w:sz w:val="15"/>
              </w:rPr>
              <w:t>ICP / pain point / why blockchain</w:t>
            </w:r>
          </w:p>
        </w:tc>
        <w:tc>
          <w:tcPr>
            <w:tcW w:type="dxa" w:w="3408"/>
            <w:vAlign w:val="center"/>
          </w:tcPr>
          <w:p>
            <w:r>
              <w:rPr>
                <w:sz w:val="15"/>
              </w:rPr>
              <w:t>Hackathon positioning and database-vs-blockchain argument added.</w:t>
            </w:r>
          </w:p>
        </w:tc>
        <w:tc>
          <w:tcPr>
            <w:tcW w:type="dxa" w:w="3408"/>
            <w:vAlign w:val="center"/>
          </w:tcPr>
          <w:p>
            <w:r>
              <w:rPr>
                <w:sz w:val="15"/>
              </w:rPr>
              <w:t>CLOSED</w:t>
            </w:r>
          </w:p>
        </w:tc>
      </w:tr>
      <w:tr>
        <w:tc>
          <w:tcPr>
            <w:tcW w:type="dxa" w:w="3408"/>
            <w:vAlign w:val="center"/>
          </w:tcPr>
          <w:p>
            <w:r>
              <w:rPr>
                <w:sz w:val="15"/>
              </w:rPr>
              <w:t>3-minute demo</w:t>
            </w:r>
          </w:p>
        </w:tc>
        <w:tc>
          <w:tcPr>
            <w:tcW w:type="dxa" w:w="3408"/>
            <w:vAlign w:val="center"/>
          </w:tcPr>
          <w:p>
            <w:r>
              <w:rPr>
                <w:sz w:val="15"/>
              </w:rPr>
              <w:t>Deterministic judge demo flow added.</w:t>
            </w:r>
          </w:p>
        </w:tc>
        <w:tc>
          <w:tcPr>
            <w:tcW w:type="dxa" w:w="3408"/>
            <w:vAlign w:val="center"/>
          </w:tcPr>
          <w:p>
            <w:r>
              <w:rPr>
                <w:sz w:val="15"/>
              </w:rPr>
              <w:t>CLOSED</w:t>
            </w:r>
          </w:p>
        </w:tc>
      </w:tr>
      <w:tr>
        <w:tc>
          <w:tcPr>
            <w:tcW w:type="dxa" w:w="3408"/>
            <w:vAlign w:val="center"/>
          </w:tcPr>
          <w:p>
            <w:r>
              <w:rPr>
                <w:sz w:val="15"/>
              </w:rPr>
              <w:t>MVP role scope</w:t>
            </w:r>
          </w:p>
        </w:tc>
        <w:tc>
          <w:tcPr>
            <w:tcW w:type="dxa" w:w="3408"/>
            <w:vAlign w:val="center"/>
          </w:tcPr>
          <w:p>
            <w:r>
              <w:rPr>
                <w:sz w:val="15"/>
              </w:rPr>
              <w:t>Full ERP roles remain modeled; hackathon implementation roles are reduced to the minimum P0 set.</w:t>
            </w:r>
          </w:p>
        </w:tc>
        <w:tc>
          <w:tcPr>
            <w:tcW w:type="dxa" w:w="3408"/>
            <w:vAlign w:val="center"/>
          </w:tcPr>
          <w:p>
            <w:r>
              <w:rPr>
                <w:sz w:val="15"/>
              </w:rPr>
              <w:t>CLOSED</w:t>
            </w:r>
          </w:p>
        </w:tc>
      </w:tr>
    </w:tbl>
    <w:p/>
    <w:p>
      <w:pPr>
        <w:pStyle w:val="Heading1"/>
      </w:pPr>
      <w:r>
        <w:t>2. Product Positioning</w:t>
      </w:r>
    </w:p>
    <w:p>
      <w:r>
        <w:t>PANDU is an industrial quality and traceability ERP with an independent verification layer for real-world quality evidence. The ERP remains the system of record for operational data. Blockchain stores only a cryptographic commitment used to independently detect later changes.</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sz w:val="16"/>
              </w:rPr>
              <w:t>Layer</w:t>
            </w:r>
          </w:p>
        </w:tc>
        <w:tc>
          <w:tcPr>
            <w:tcW w:type="dxa" w:w="5112"/>
            <w:shd w:fill="17365D"/>
          </w:tcPr>
          <w:p>
            <w:r>
              <w:rPr>
                <w:b/>
                <w:sz w:val="16"/>
              </w:rPr>
              <w:t>Responsibility</w:t>
            </w:r>
          </w:p>
        </w:tc>
      </w:tr>
      <w:tr>
        <w:tc>
          <w:tcPr>
            <w:tcW w:type="dxa" w:w="5112"/>
            <w:vAlign w:val="center"/>
          </w:tcPr>
          <w:p>
            <w:r>
              <w:rPr>
                <w:sz w:val="15"/>
              </w:rPr>
              <w:t>ERP Operating Layer</w:t>
            </w:r>
          </w:p>
        </w:tc>
        <w:tc>
          <w:tcPr>
            <w:tcW w:type="dxa" w:w="5112"/>
            <w:vAlign w:val="center"/>
          </w:tcPr>
          <w:p>
            <w:r>
              <w:rPr>
                <w:sz w:val="15"/>
              </w:rPr>
              <w:t>Supplier, material, batch, inspection, evidence, QA approval, release and audit operations.</w:t>
            </w:r>
          </w:p>
        </w:tc>
      </w:tr>
      <w:tr>
        <w:tc>
          <w:tcPr>
            <w:tcW w:type="dxa" w:w="5112"/>
            <w:vAlign w:val="center"/>
          </w:tcPr>
          <w:p>
            <w:r>
              <w:rPr>
                <w:sz w:val="15"/>
              </w:rPr>
              <w:t>Independent Verification Layer</w:t>
            </w:r>
          </w:p>
        </w:tc>
        <w:tc>
          <w:tcPr>
            <w:tcW w:type="dxa" w:w="5112"/>
            <w:vAlign w:val="center"/>
          </w:tcPr>
          <w:p>
            <w:r>
              <w:rPr>
                <w:sz w:val="15"/>
              </w:rPr>
              <w:t>Canonical proof creation, blockchain anchoring, revocation and public verification.</w:t>
            </w:r>
          </w:p>
        </w:tc>
      </w:tr>
      <w:tr>
        <w:tc>
          <w:tcPr>
            <w:tcW w:type="dxa" w:w="5112"/>
            <w:vAlign w:val="center"/>
          </w:tcPr>
          <w:p>
            <w:r>
              <w:rPr>
                <w:sz w:val="15"/>
              </w:rPr>
              <w:t>Blockchain</w:t>
            </w:r>
          </w:p>
        </w:tc>
        <w:tc>
          <w:tcPr>
            <w:tcW w:type="dxa" w:w="5112"/>
            <w:vAlign w:val="center"/>
          </w:tcPr>
          <w:p>
            <w:r>
              <w:rPr>
                <w:sz w:val="15"/>
              </w:rPr>
              <w:t>Stores commitment, identity/reference hashes, timestamp and revocation state. No confidential ERP evidence.</w:t>
            </w:r>
          </w:p>
        </w:tc>
      </w:tr>
    </w:tbl>
    <w:p/>
    <w:p>
      <w:pPr>
        <w:pStyle w:val="Heading1"/>
      </w:pPr>
      <w:r>
        <w:t>3. ICP, Users &amp; Pain Point</w:t>
      </w:r>
    </w:p>
    <w:p>
      <w:pPr>
        <w:pStyle w:val="Heading2"/>
      </w:pPr>
      <w:r>
        <w:t>3.1 Primary target customer</w:t>
      </w:r>
    </w:p>
    <w:p>
      <w:r>
        <w:t>Industrial manufacturers and their quality/supplier ecosystem where inspection evidence must be trusted across organizational boundaries.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sz w:val="16"/>
              </w:rPr>
              <w:t>Actor</w:t>
            </w:r>
          </w:p>
        </w:tc>
        <w:tc>
          <w:tcPr>
            <w:tcW w:type="dxa" w:w="3408"/>
            <w:shd w:fill="17365D"/>
          </w:tcPr>
          <w:p>
            <w:r>
              <w:rPr>
                <w:b/>
                <w:sz w:val="16"/>
              </w:rPr>
              <w:t>Current Pain</w:t>
            </w:r>
          </w:p>
        </w:tc>
        <w:tc>
          <w:tcPr>
            <w:tcW w:type="dxa" w:w="3408"/>
            <w:shd w:fill="17365D"/>
          </w:tcPr>
          <w:p>
            <w:r>
              <w:rPr>
                <w:b/>
                <w:sz w:val="16"/>
              </w:rPr>
              <w:t>PANDU Value</w:t>
            </w:r>
          </w:p>
        </w:tc>
      </w:tr>
      <w:tr>
        <w:tc>
          <w:tcPr>
            <w:tcW w:type="dxa" w:w="3408"/>
            <w:vAlign w:val="center"/>
          </w:tcPr>
          <w:p>
            <w:r>
              <w:rPr>
                <w:sz w:val="15"/>
              </w:rPr>
              <w:t>QC Inspector</w:t>
            </w:r>
          </w:p>
        </w:tc>
        <w:tc>
          <w:tcPr>
            <w:tcW w:type="dxa" w:w="3408"/>
            <w:vAlign w:val="center"/>
          </w:tcPr>
          <w:p>
            <w:r>
              <w:rPr>
                <w:sz w:val="15"/>
              </w:rPr>
              <w:t>Evidence scattered across PDF, email and spreadsheets.</w:t>
            </w:r>
          </w:p>
        </w:tc>
        <w:tc>
          <w:tcPr>
            <w:tcW w:type="dxa" w:w="3408"/>
            <w:vAlign w:val="center"/>
          </w:tcPr>
          <w:p>
            <w:r>
              <w:rPr>
                <w:sz w:val="15"/>
              </w:rPr>
              <w:t>Structured inspection + evidence capture.</w:t>
            </w:r>
          </w:p>
        </w:tc>
      </w:tr>
      <w:tr>
        <w:tc>
          <w:tcPr>
            <w:tcW w:type="dxa" w:w="3408"/>
            <w:vAlign w:val="center"/>
          </w:tcPr>
          <w:p>
            <w:r>
              <w:rPr>
                <w:sz w:val="15"/>
              </w:rPr>
              <w:t>QA Manager</w:t>
            </w:r>
          </w:p>
        </w:tc>
        <w:tc>
          <w:tcPr>
            <w:tcW w:type="dxa" w:w="3408"/>
            <w:vAlign w:val="center"/>
          </w:tcPr>
          <w:p>
            <w:r>
              <w:rPr>
                <w:sz w:val="15"/>
              </w:rPr>
              <w:t>Approval history can be difficult to independently verify.</w:t>
            </w:r>
          </w:p>
        </w:tc>
        <w:tc>
          <w:tcPr>
            <w:tcW w:type="dxa" w:w="3408"/>
            <w:vAlign w:val="center"/>
          </w:tcPr>
          <w:p>
            <w:r>
              <w:rPr>
                <w:sz w:val="15"/>
              </w:rPr>
              <w:t>Controlled approval and immutable commitment.</w:t>
            </w:r>
          </w:p>
        </w:tc>
      </w:tr>
      <w:tr>
        <w:tc>
          <w:tcPr>
            <w:tcW w:type="dxa" w:w="3408"/>
            <w:vAlign w:val="center"/>
          </w:tcPr>
          <w:p>
            <w:r>
              <w:rPr>
                <w:sz w:val="15"/>
              </w:rPr>
              <w:t>Supplier</w:t>
            </w:r>
          </w:p>
        </w:tc>
        <w:tc>
          <w:tcPr>
            <w:tcW w:type="dxa" w:w="3408"/>
            <w:vAlign w:val="center"/>
          </w:tcPr>
          <w:p>
            <w:r>
              <w:rPr>
                <w:sz w:val="15"/>
              </w:rPr>
              <w:t>Must repeatedly provide certificates and defend document authenticity.</w:t>
            </w:r>
          </w:p>
        </w:tc>
        <w:tc>
          <w:tcPr>
            <w:tcW w:type="dxa" w:w="3408"/>
            <w:vAlign w:val="center"/>
          </w:tcPr>
          <w:p>
            <w:r>
              <w:rPr>
                <w:sz w:val="15"/>
              </w:rPr>
              <w:t>Portable Quality Proof.</w:t>
            </w:r>
          </w:p>
        </w:tc>
      </w:tr>
      <w:tr>
        <w:tc>
          <w:tcPr>
            <w:tcW w:type="dxa" w:w="3408"/>
            <w:vAlign w:val="center"/>
          </w:tcPr>
          <w:p>
            <w:r>
              <w:rPr>
                <w:sz w:val="15"/>
              </w:rPr>
              <w:t>Buyer / Auditor</w:t>
            </w:r>
          </w:p>
        </w:tc>
        <w:tc>
          <w:tcPr>
            <w:tcW w:type="dxa" w:w="3408"/>
            <w:vAlign w:val="center"/>
          </w:tcPr>
          <w:p>
            <w:r>
              <w:rPr>
                <w:sz w:val="15"/>
              </w:rPr>
              <w:t>Trusts evidence produced by another organization.</w:t>
            </w:r>
          </w:p>
        </w:tc>
        <w:tc>
          <w:tcPr>
            <w:tcW w:type="dxa" w:w="3408"/>
            <w:vAlign w:val="center"/>
          </w:tcPr>
          <w:p>
            <w:r>
              <w:rPr>
                <w:sz w:val="15"/>
              </w:rPr>
              <w:t>Public, independently verifiable commitment.</w:t>
            </w:r>
          </w:p>
        </w:tc>
      </w:tr>
      <w:tr>
        <w:tc>
          <w:tcPr>
            <w:tcW w:type="dxa" w:w="3408"/>
            <w:vAlign w:val="center"/>
          </w:tcPr>
          <w:p>
            <w:r>
              <w:rPr>
                <w:sz w:val="15"/>
              </w:rPr>
              <w:t>PANDU Admin</w:t>
            </w:r>
          </w:p>
        </w:tc>
        <w:tc>
          <w:tcPr>
            <w:tcW w:type="dxa" w:w="3408"/>
            <w:vAlign w:val="center"/>
          </w:tcPr>
          <w:p>
            <w:r>
              <w:rPr>
                <w:sz w:val="15"/>
              </w:rPr>
              <w:t>Needs controlled multi-tenant operations.</w:t>
            </w:r>
          </w:p>
        </w:tc>
        <w:tc>
          <w:tcPr>
            <w:tcW w:type="dxa" w:w="3408"/>
            <w:vAlign w:val="center"/>
          </w:tcPr>
          <w:p>
            <w:r>
              <w:rPr>
                <w:sz w:val="15"/>
              </w:rPr>
              <w:t>RBAC, tenant isolation and audit trail.</w:t>
            </w:r>
          </w:p>
        </w:tc>
      </w:tr>
    </w:tbl>
    <w:p/>
    <w:p>
      <w:pPr>
        <w:pStyle w:val="Heading2"/>
      </w:pPr>
      <w:r>
        <w:t>3.2 Core pain</w:t>
      </w:r>
    </w:p>
    <w:p>
      <w:r>
        <w:t>The problem is not merely storing a certificate. The problem is proving that the evidence being presented today is the same evidence that was approved and committed at the relevant time.</w:t>
      </w:r>
    </w:p>
    <w:p>
      <w:r>
        <w:t>PANDU does NOT prove physical truth. It proves integrity of the specific evidence commitment that was anchored.</w:t>
      </w:r>
    </w:p>
    <w:p>
      <w:pPr>
        <w:pStyle w:val="Heading1"/>
      </w:pPr>
      <w:r>
        <w:t>4. Why Blockchain vs a Normal Database?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sz w:val="16"/>
              </w:rPr>
              <w:t>Normal Database</w:t>
            </w:r>
          </w:p>
        </w:tc>
        <w:tc>
          <w:tcPr>
            <w:tcW w:type="dxa" w:w="5112"/>
            <w:shd w:fill="17365D"/>
          </w:tcPr>
          <w:p>
            <w:r>
              <w:rPr>
                <w:b/>
                <w:sz w:val="16"/>
              </w:rPr>
              <w:t>PANDU</w:t>
            </w:r>
          </w:p>
        </w:tc>
      </w:tr>
      <w:tr>
        <w:tc>
          <w:tcPr>
            <w:tcW w:type="dxa" w:w="5112"/>
            <w:vAlign w:val="center"/>
          </w:tcPr>
          <w:p>
            <w:r>
              <w:rPr>
                <w:sz w:val="15"/>
              </w:rPr>
              <w:t>Records are controlled by the database operator.</w:t>
            </w:r>
          </w:p>
        </w:tc>
        <w:tc>
          <w:tcPr>
            <w:tcW w:type="dxa" w:w="5112"/>
            <w:vAlign w:val="center"/>
          </w:tcPr>
          <w:p>
            <w:r>
              <w:rPr>
                <w:sz w:val="15"/>
              </w:rPr>
              <w:t>Operational records remain in the ERP, while a commitment is independently anchored.</w:t>
            </w:r>
          </w:p>
        </w:tc>
      </w:tr>
      <w:tr>
        <w:tc>
          <w:tcPr>
            <w:tcW w:type="dxa" w:w="5112"/>
            <w:vAlign w:val="center"/>
          </w:tcPr>
          <w:p>
            <w:r>
              <w:rPr>
                <w:sz w:val="15"/>
              </w:rPr>
              <w:t>A privileged operator can potentially replace historical records without an external commitment.</w:t>
            </w:r>
          </w:p>
        </w:tc>
        <w:tc>
          <w:tcPr>
            <w:tcW w:type="dxa" w:w="5112"/>
            <w:vAlign w:val="center"/>
          </w:tcPr>
          <w:p>
            <w:r>
              <w:rPr>
                <w:sz w:val="15"/>
              </w:rPr>
              <w:t>A changed proof produces a commitment mismatch against the anchored value.</w:t>
            </w:r>
          </w:p>
        </w:tc>
      </w:tr>
      <w:tr>
        <w:tc>
          <w:tcPr>
            <w:tcW w:type="dxa" w:w="5112"/>
            <w:vAlign w:val="center"/>
          </w:tcPr>
          <w:p>
            <w:r>
              <w:rPr>
                <w:sz w:val="15"/>
              </w:rPr>
              <w:t>Cross-company verification depends on access to the same system or trusted intermediary.</w:t>
            </w:r>
          </w:p>
        </w:tc>
        <w:tc>
          <w:tcPr>
            <w:tcW w:type="dxa" w:w="5112"/>
            <w:vAlign w:val="center"/>
          </w:tcPr>
          <w:p>
            <w:r>
              <w:rPr>
                <w:sz w:val="15"/>
              </w:rPr>
              <w:t>Public verification can check the anchored commitment without an ERP account.</w:t>
            </w:r>
          </w:p>
        </w:tc>
      </w:tr>
      <w:tr>
        <w:tc>
          <w:tcPr>
            <w:tcW w:type="dxa" w:w="5112"/>
            <w:vAlign w:val="center"/>
          </w:tcPr>
          <w:p>
            <w:r>
              <w:rPr>
                <w:sz w:val="15"/>
              </w:rPr>
              <w:t>Database is still appropriate for confidential operational data.</w:t>
            </w:r>
          </w:p>
        </w:tc>
        <w:tc>
          <w:tcPr>
            <w:tcW w:type="dxa" w:w="5112"/>
            <w:vAlign w:val="center"/>
          </w:tcPr>
          <w:p>
            <w:r>
              <w:rPr>
                <w:sz w:val="15"/>
              </w:rPr>
              <w:t>PANDU deliberately keeps confidential ERP data off-chain.</w:t>
            </w:r>
          </w:p>
        </w:tc>
      </w:tr>
    </w:tbl>
    <w:p/>
    <w:p>
      <w:r>
        <w:t>Judge-ready answer: “The database answers what our ERP currently records. Blockchain gives an independent commitment that lets another party detect whether the approved proof has changed since it was anchored.”</w:t>
      </w:r>
    </w:p>
    <w:p>
      <w:pPr>
        <w:pStyle w:val="Heading1"/>
      </w:pPr>
      <w:r>
        <w:t>5. Architecture Boundary — ARCH-001</w:t>
      </w:r>
    </w:p>
    <w:p>
      <w:r>
        <w:t>Required visual diagram:</w:t>
      </w:r>
    </w:p>
    <w:p>
      <w:r>
        <w:t>CLIENT LAYER: QC / QA / Admin / Buyer-Auditor / Public Verification</w:t>
        <w:br/>
        <w:t xml:space="preserve">        ↓</w:t>
        <w:br/>
        <w:t>APPLICATION LAYER: Next.js UI → API → Domain Services → PostgreSQL/Prisma + Object Storage</w:t>
        <w:br/>
        <w:t xml:space="preserve">        ↓</w:t>
        <w:br/>
        <w:t>VERIFICATION BRIDGE: Anchor Service → Queue/Relayer</w:t>
        <w:br/>
        <w:t xml:space="preserve">        ↓</w:t>
        <w:br/>
        <w:t>ON-CHAIN: PANDUQualityRegistry → Arbitrum Sepolia</w:t>
      </w:r>
    </w:p>
    <w:p>
      <w:pPr>
        <w:pStyle w:val="ListBullet"/>
      </w:pPr>
      <w:r>
        <w:t>Buyer/Auditor and Public Verification are CLIENT/APPLICATION concerns, not on-chain components.</w:t>
      </w:r>
    </w:p>
    <w:p>
      <w:pPr>
        <w:pStyle w:val="ListBullet"/>
      </w:pPr>
      <w:r>
        <w:t>Only PANDUQualityRegistry and the blockchain network are strictly on-chain.</w:t>
      </w:r>
    </w:p>
    <w:p>
      <w:pPr>
        <w:pStyle w:val="ListBullet"/>
      </w:pPr>
      <w:r>
        <w:t>Relayer is an off-chain backend service that submits authorized transactions.</w:t>
      </w:r>
    </w:p>
    <w:p>
      <w:pPr>
        <w:pStyle w:val="Heading1"/>
      </w:pPr>
      <w:r>
        <w:t>6. Required Architecture Diagram Set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sz w:val="16"/>
              </w:rPr>
              <w:t>ID</w:t>
            </w:r>
          </w:p>
        </w:tc>
        <w:tc>
          <w:tcPr>
            <w:tcW w:type="dxa" w:w="3408"/>
            <w:shd w:fill="17365D"/>
          </w:tcPr>
          <w:p>
            <w:r>
              <w:rPr>
                <w:b/>
                <w:sz w:val="16"/>
              </w:rPr>
              <w:t>Diagram</w:t>
            </w:r>
          </w:p>
        </w:tc>
        <w:tc>
          <w:tcPr>
            <w:tcW w:type="dxa" w:w="3408"/>
            <w:shd w:fill="17365D"/>
          </w:tcPr>
          <w:p>
            <w:r>
              <w:rPr>
                <w:b/>
                <w:sz w:val="16"/>
              </w:rPr>
              <w:t>Must Show</w:t>
            </w:r>
          </w:p>
        </w:tc>
      </w:tr>
      <w:tr>
        <w:tc>
          <w:tcPr>
            <w:tcW w:type="dxa" w:w="3408"/>
            <w:vAlign w:val="center"/>
          </w:tcPr>
          <w:p>
            <w:r>
              <w:rPr>
                <w:sz w:val="15"/>
              </w:rPr>
              <w:t>ARCH-001</w:t>
            </w:r>
          </w:p>
        </w:tc>
        <w:tc>
          <w:tcPr>
            <w:tcW w:type="dxa" w:w="3408"/>
            <w:vAlign w:val="center"/>
          </w:tcPr>
          <w:p>
            <w:r>
              <w:rPr>
                <w:sz w:val="15"/>
              </w:rPr>
              <w:t>High-Level System Architecture</w:t>
            </w:r>
          </w:p>
        </w:tc>
        <w:tc>
          <w:tcPr>
            <w:tcW w:type="dxa" w:w="3408"/>
            <w:vAlign w:val="center"/>
          </w:tcPr>
          <w:p>
            <w:r>
              <w:rPr>
                <w:sz w:val="15"/>
              </w:rPr>
              <w:t>Client, Application, DB/Object Storage, Anchor/Relayer, Registry, Arbitrum; correct trust boundaries.</w:t>
            </w:r>
          </w:p>
        </w:tc>
      </w:tr>
      <w:tr>
        <w:tc>
          <w:tcPr>
            <w:tcW w:type="dxa" w:w="3408"/>
            <w:vAlign w:val="center"/>
          </w:tcPr>
          <w:p>
            <w:r>
              <w:rPr>
                <w:sz w:val="15"/>
              </w:rPr>
              <w:t>ARCH-002</w:t>
            </w:r>
          </w:p>
        </w:tc>
        <w:tc>
          <w:tcPr>
            <w:tcW w:type="dxa" w:w="3408"/>
            <w:vAlign w:val="center"/>
          </w:tcPr>
          <w:p>
            <w:r>
              <w:rPr>
                <w:sz w:val="15"/>
              </w:rPr>
              <w:t>ERP Module Architecture</w:t>
            </w:r>
          </w:p>
        </w:tc>
        <w:tc>
          <w:tcPr>
            <w:tcW w:type="dxa" w:w="3408"/>
            <w:vAlign w:val="center"/>
          </w:tcPr>
          <w:p>
            <w:r>
              <w:rPr>
                <w:sz w:val="15"/>
              </w:rPr>
              <w:t>Supplier → Material → Batch → Inspection → Evidence → QA Approval → Quality Proof.</w:t>
            </w:r>
          </w:p>
        </w:tc>
      </w:tr>
      <w:tr>
        <w:tc>
          <w:tcPr>
            <w:tcW w:type="dxa" w:w="3408"/>
            <w:vAlign w:val="center"/>
          </w:tcPr>
          <w:p>
            <w:r>
              <w:rPr>
                <w:sz w:val="15"/>
              </w:rPr>
              <w:t>ARCH-003</w:t>
            </w:r>
          </w:p>
        </w:tc>
        <w:tc>
          <w:tcPr>
            <w:tcW w:type="dxa" w:w="3408"/>
            <w:vAlign w:val="center"/>
          </w:tcPr>
          <w:p>
            <w:r>
              <w:rPr>
                <w:sz w:val="15"/>
              </w:rPr>
              <w:t>Quality Evidence Lifecycle</w:t>
            </w:r>
          </w:p>
        </w:tc>
        <w:tc>
          <w:tcPr>
            <w:tcW w:type="dxa" w:w="3408"/>
            <w:vAlign w:val="center"/>
          </w:tcPr>
          <w:p>
            <w:r>
              <w:rPr>
                <w:sz w:val="15"/>
              </w:rPr>
              <w:t>Capture → hash → inspection → approval → proof → anchor → verify → revoke.</w:t>
            </w:r>
          </w:p>
        </w:tc>
      </w:tr>
      <w:tr>
        <w:tc>
          <w:tcPr>
            <w:tcW w:type="dxa" w:w="3408"/>
            <w:vAlign w:val="center"/>
          </w:tcPr>
          <w:p>
            <w:r>
              <w:rPr>
                <w:sz w:val="15"/>
              </w:rPr>
              <w:t>ARCH-004</w:t>
            </w:r>
          </w:p>
        </w:tc>
        <w:tc>
          <w:tcPr>
            <w:tcW w:type="dxa" w:w="3408"/>
            <w:vAlign w:val="center"/>
          </w:tcPr>
          <w:p>
            <w:r>
              <w:rPr>
                <w:sz w:val="15"/>
              </w:rPr>
              <w:t>Blockchain Transaction Architecture</w:t>
            </w:r>
          </w:p>
        </w:tc>
        <w:tc>
          <w:tcPr>
            <w:tcW w:type="dxa" w:w="3408"/>
            <w:vAlign w:val="center"/>
          </w:tcPr>
          <w:p>
            <w:r>
              <w:rPr>
                <w:sz w:val="15"/>
              </w:rPr>
              <w:t>API → idempotency → queue → relayer → contract → receipt → reconciliation.</w:t>
            </w:r>
          </w:p>
        </w:tc>
      </w:tr>
      <w:tr>
        <w:tc>
          <w:tcPr>
            <w:tcW w:type="dxa" w:w="3408"/>
            <w:vAlign w:val="center"/>
          </w:tcPr>
          <w:p>
            <w:r>
              <w:rPr>
                <w:sz w:val="15"/>
              </w:rPr>
              <w:t>ARCH-005</w:t>
            </w:r>
          </w:p>
        </w:tc>
        <w:tc>
          <w:tcPr>
            <w:tcW w:type="dxa" w:w="3408"/>
            <w:vAlign w:val="center"/>
          </w:tcPr>
          <w:p>
            <w:r>
              <w:rPr>
                <w:sz w:val="15"/>
              </w:rPr>
              <w:t>End-to-End Traceability</w:t>
            </w:r>
          </w:p>
        </w:tc>
        <w:tc>
          <w:tcPr>
            <w:tcW w:type="dxa" w:w="3408"/>
            <w:vAlign w:val="center"/>
          </w:tcPr>
          <w:p>
            <w:r>
              <w:rPr>
                <w:sz w:val="15"/>
              </w:rPr>
              <w:t>Supplier/Material/Batch/Inspection/Evidence/Proof and forward/backward trace.</w:t>
            </w:r>
          </w:p>
        </w:tc>
      </w:tr>
      <w:tr>
        <w:tc>
          <w:tcPr>
            <w:tcW w:type="dxa" w:w="3408"/>
            <w:vAlign w:val="center"/>
          </w:tcPr>
          <w:p>
            <w:r>
              <w:rPr>
                <w:sz w:val="15"/>
              </w:rPr>
              <w:t>ARCH-006</w:t>
            </w:r>
          </w:p>
        </w:tc>
        <w:tc>
          <w:tcPr>
            <w:tcW w:type="dxa" w:w="3408"/>
            <w:vAlign w:val="center"/>
          </w:tcPr>
          <w:p>
            <w:r>
              <w:rPr>
                <w:sz w:val="15"/>
              </w:rPr>
              <w:t>Deployment Architecture</w:t>
            </w:r>
          </w:p>
        </w:tc>
        <w:tc>
          <w:tcPr>
            <w:tcW w:type="dxa" w:w="3408"/>
            <w:vAlign w:val="center"/>
          </w:tcPr>
          <w:p>
            <w:r>
              <w:rPr>
                <w:sz w:val="15"/>
              </w:rPr>
              <w:t>MVP simplified vs production recommended, including secret manager and queue.</w:t>
            </w:r>
          </w:p>
        </w:tc>
      </w:tr>
      <w:tr>
        <w:tc>
          <w:tcPr>
            <w:tcW w:type="dxa" w:w="3408"/>
            <w:vAlign w:val="center"/>
          </w:tcPr>
          <w:p>
            <w:r>
              <w:rPr>
                <w:sz w:val="15"/>
              </w:rPr>
              <w:t>ARCH-007</w:t>
            </w:r>
          </w:p>
        </w:tc>
        <w:tc>
          <w:tcPr>
            <w:tcW w:type="dxa" w:w="3408"/>
            <w:vAlign w:val="center"/>
          </w:tcPr>
          <w:p>
            <w:r>
              <w:rPr>
                <w:sz w:val="15"/>
              </w:rPr>
              <w:t>Security / Trust Boundary</w:t>
            </w:r>
          </w:p>
        </w:tc>
        <w:tc>
          <w:tcPr>
            <w:tcW w:type="dxa" w:w="3408"/>
            <w:vAlign w:val="center"/>
          </w:tcPr>
          <w:p>
            <w:r>
              <w:rPr>
                <w:sz w:val="15"/>
              </w:rPr>
              <w:t>Roles, tenant boundary, private evidence, relayer key, public verification.</w:t>
            </w:r>
          </w:p>
        </w:tc>
      </w:tr>
      <w:tr>
        <w:tc>
          <w:tcPr>
            <w:tcW w:type="dxa" w:w="3408"/>
            <w:vAlign w:val="center"/>
          </w:tcPr>
          <w:p>
            <w:r>
              <w:rPr>
                <w:sz w:val="15"/>
              </w:rPr>
              <w:t>DATA-001</w:t>
            </w:r>
          </w:p>
        </w:tc>
        <w:tc>
          <w:tcPr>
            <w:tcW w:type="dxa" w:w="3408"/>
            <w:vAlign w:val="center"/>
          </w:tcPr>
          <w:p>
            <w:r>
              <w:rPr>
                <w:sz w:val="15"/>
              </w:rPr>
              <w:t>Core Data Architecture</w:t>
            </w:r>
          </w:p>
        </w:tc>
        <w:tc>
          <w:tcPr>
            <w:tcW w:type="dxa" w:w="3408"/>
            <w:vAlign w:val="center"/>
          </w:tcPr>
          <w:p>
            <w:r>
              <w:rPr>
                <w:sz w:val="15"/>
              </w:rPr>
              <w:t>Conceptual entity hierarchy.</w:t>
            </w:r>
          </w:p>
        </w:tc>
      </w:tr>
      <w:tr>
        <w:tc>
          <w:tcPr>
            <w:tcW w:type="dxa" w:w="3408"/>
            <w:vAlign w:val="center"/>
          </w:tcPr>
          <w:p>
            <w:r>
              <w:rPr>
                <w:sz w:val="15"/>
              </w:rPr>
              <w:t>DATA-002</w:t>
            </w:r>
          </w:p>
        </w:tc>
        <w:tc>
          <w:tcPr>
            <w:tcW w:type="dxa" w:w="3408"/>
            <w:vAlign w:val="center"/>
          </w:tcPr>
          <w:p>
            <w:r>
              <w:rPr>
                <w:sz w:val="15"/>
              </w:rPr>
              <w:t>Core ERD &amp; Cardinality</w:t>
            </w:r>
          </w:p>
        </w:tc>
        <w:tc>
          <w:tcPr>
            <w:tcW w:type="dxa" w:w="3408"/>
            <w:vAlign w:val="center"/>
          </w:tcPr>
          <w:p>
            <w:r>
              <w:rPr>
                <w:sz w:val="15"/>
              </w:rPr>
              <w:t>PK/FK and explicit 1:N / N:1 relationships suitable for Prisma.</w:t>
            </w:r>
          </w:p>
        </w:tc>
      </w:tr>
    </w:tbl>
    <w:p/>
    <w:p>
      <w:pPr>
        <w:pStyle w:val="Heading1"/>
      </w:pPr>
      <w:r>
        <w:t>7. Verification Model</w:t>
      </w:r>
    </w:p>
    <w:p>
      <w:pPr>
        <w:pStyle w:val="Heading2"/>
      </w:pPr>
      <w:r>
        <w:t>7.1 Public verification</w:t>
      </w:r>
    </w:p>
    <w:p>
      <w:r>
        <w:t>Public verification MUST NOT require access to private evidence files.</w:t>
      </w:r>
    </w:p>
    <w:p>
      <w:r>
        <w:t>Proof ID → retrieve public proof metadata → retrieve on-chain commitment/revocation → recompute/compare the canonical proof commitment from the published proof representation → return VERIFIED, MISMATCH, or REVOKED.</w:t>
      </w:r>
    </w:p>
    <w:p>
      <w:pPr>
        <w:pStyle w:val="Heading2"/>
      </w:pPr>
      <w:r>
        <w:t>7.2 Optional evidence-file verification</w:t>
      </w:r>
    </w:p>
    <w:p>
      <w:r>
        <w:t>When an evidence file is intentionally available to the verifier, the verifier may upload the presented file locally. The application computes SHA-256 over the exact bytes and compares it with the anchored evidence hash. This is a file-integrity check, not a claim that the physical item is authentic.</w:t>
      </w:r>
    </w:p>
    <w:p>
      <w:pPr>
        <w:pStyle w:val="Heading1"/>
      </w:pPr>
      <w:r>
        <w:t>8. Canonical Hashing Contract</w:t>
      </w:r>
    </w:p>
    <w:p>
      <w:r>
        <w:t>PANDU maintains two distinct hashes: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sz w:val="16"/>
              </w:rPr>
              <w:t>Hash</w:t>
            </w:r>
          </w:p>
        </w:tc>
        <w:tc>
          <w:tcPr>
            <w:tcW w:type="dxa" w:w="2556"/>
            <w:shd w:fill="17365D"/>
          </w:tcPr>
          <w:p>
            <w:r>
              <w:rPr>
                <w:b/>
                <w:sz w:val="16"/>
              </w:rPr>
              <w:t>Algorithm</w:t>
            </w:r>
          </w:p>
        </w:tc>
        <w:tc>
          <w:tcPr>
            <w:tcW w:type="dxa" w:w="2556"/>
            <w:shd w:fill="17365D"/>
          </w:tcPr>
          <w:p>
            <w:r>
              <w:rPr>
                <w:b/>
                <w:sz w:val="16"/>
              </w:rPr>
              <w:t>Input</w:t>
            </w:r>
          </w:p>
        </w:tc>
        <w:tc>
          <w:tcPr>
            <w:tcW w:type="dxa" w:w="2556"/>
            <w:shd w:fill="17365D"/>
          </w:tcPr>
          <w:p>
            <w:r>
              <w:rPr>
                <w:b/>
                <w:sz w:val="16"/>
              </w:rPr>
              <w:t>Purpose</w:t>
            </w:r>
          </w:p>
        </w:tc>
      </w:tr>
      <w:tr>
        <w:tc>
          <w:tcPr>
            <w:tcW w:type="dxa" w:w="2556"/>
            <w:vAlign w:val="center"/>
          </w:tcPr>
          <w:p>
            <w:r>
              <w:rPr>
                <w:sz w:val="15"/>
              </w:rPr>
              <w:t>Evidence SHA-256</w:t>
            </w:r>
          </w:p>
        </w:tc>
        <w:tc>
          <w:tcPr>
            <w:tcW w:type="dxa" w:w="2556"/>
            <w:vAlign w:val="center"/>
          </w:tcPr>
          <w:p>
            <w:r>
              <w:rPr>
                <w:sz w:val="15"/>
              </w:rPr>
              <w:t>SHA-256</w:t>
            </w:r>
          </w:p>
        </w:tc>
        <w:tc>
          <w:tcPr>
            <w:tcW w:type="dxa" w:w="2556"/>
            <w:vAlign w:val="center"/>
          </w:tcPr>
          <w:p>
            <w:r>
              <w:rPr>
                <w:sz w:val="15"/>
              </w:rPr>
              <w:t>Exact evidence file bytes</w:t>
            </w:r>
          </w:p>
        </w:tc>
        <w:tc>
          <w:tcPr>
            <w:tcW w:type="dxa" w:w="2556"/>
            <w:vAlign w:val="center"/>
          </w:tcPr>
          <w:p>
            <w:r>
              <w:rPr>
                <w:sz w:val="15"/>
              </w:rPr>
              <w:t>Detect file replacement/modification.</w:t>
            </w:r>
          </w:p>
        </w:tc>
      </w:tr>
      <w:tr>
        <w:tc>
          <w:tcPr>
            <w:tcW w:type="dxa" w:w="2556"/>
            <w:vAlign w:val="center"/>
          </w:tcPr>
          <w:p>
            <w:r>
              <w:rPr>
                <w:sz w:val="15"/>
              </w:rPr>
              <w:t>Canonical Proof Hash</w:t>
            </w:r>
          </w:p>
        </w:tc>
        <w:tc>
          <w:tcPr>
            <w:tcW w:type="dxa" w:w="2556"/>
            <w:vAlign w:val="center"/>
          </w:tcPr>
          <w:p>
            <w:r>
              <w:rPr>
                <w:sz w:val="15"/>
              </w:rPr>
              <w:t>SHA-256</w:t>
            </w:r>
          </w:p>
        </w:tc>
        <w:tc>
          <w:tcPr>
            <w:tcW w:type="dxa" w:w="2556"/>
            <w:vAlign w:val="center"/>
          </w:tcPr>
          <w:p>
            <w:r>
              <w:rPr>
                <w:sz w:val="15"/>
              </w:rPr>
              <w:t>Deterministically serialized Quality Proof payload</w:t>
            </w:r>
          </w:p>
        </w:tc>
        <w:tc>
          <w:tcPr>
            <w:tcW w:type="dxa" w:w="2556"/>
            <w:vAlign w:val="center"/>
          </w:tcPr>
          <w:p>
            <w:r>
              <w:rPr>
                <w:sz w:val="15"/>
              </w:rPr>
              <w:t>Commit the logical proof on-chain.</w:t>
            </w:r>
          </w:p>
        </w:tc>
      </w:tr>
    </w:tbl>
    <w:p/>
    <w:p>
      <w:r>
        <w:t>Canonicalization version: 1.</w:t>
      </w:r>
    </w:p>
    <w:p>
      <w:pPr>
        <w:pStyle w:val="ListBullet"/>
      </w:pPr>
      <w:r>
        <w:t>UTF-8.</w:t>
      </w:r>
    </w:p>
    <w:p>
      <w:pPr>
        <w:pStyle w:val="ListBullet"/>
      </w:pPr>
      <w:r>
        <w:t>Fixed field order defined by the canonical schema.</w:t>
      </w:r>
    </w:p>
    <w:p>
      <w:pPr>
        <w:pStyle w:val="ListBullet"/>
      </w:pPr>
      <w:r>
        <w:t>No insignificant whitespace.</w:t>
      </w:r>
    </w:p>
    <w:p>
      <w:pPr>
        <w:pStyle w:val="ListBullet"/>
      </w:pPr>
      <w:r>
        <w:t>UTC ISO-8601 timestamps with milliseconds.</w:t>
      </w:r>
    </w:p>
    <w:p>
      <w:pPr>
        <w:pStyle w:val="ListBullet"/>
      </w:pPr>
      <w:r>
        <w:t>Evidence hash array sorted deterministically by evidence ID/hash.</w:t>
      </w:r>
    </w:p>
    <w:p>
      <w:pPr>
        <w:pStyle w:val="ListBullet"/>
      </w:pPr>
      <w:r>
        <w:t>Numbers use schema-defined decimal representation, never locale formatting.</w:t>
      </w:r>
    </w:p>
    <w:p>
      <w:pPr>
        <w:pStyle w:val="ListBullet"/>
      </w:pPr>
      <w:r>
        <w:t>Nulls omitted unless explicitly required.</w:t>
      </w:r>
    </w:p>
    <w:p>
      <w:pPr>
        <w:pStyle w:val="ListBullet"/>
      </w:pPr>
      <w:r>
        <w:t>Booleans serialized as JSON true/false.</w:t>
      </w:r>
    </w:p>
    <w:p>
      <w:pPr>
        <w:pStyle w:val="ListBullet"/>
      </w:pPr>
      <w:r>
        <w:t>Serializer behavior is versioned; future versions must not reinterpret v1 proofs.</w:t>
      </w:r>
    </w:p>
    <w:p>
      <w:pPr>
        <w:pStyle w:val="ListBullet"/>
      </w:pPr>
      <w:r>
        <w:t>The Solidity contract receives the raw 32-byte SHA-256 digest. It MUST NOT keccak256 the digest again.</w:t>
      </w:r>
    </w:p>
    <w:p>
      <w:pPr>
        <w:pStyle w:val="Heading1"/>
      </w:pPr>
      <w:r>
        <w:t>9. Smart Contract Baseline</w:t>
      </w:r>
    </w:p>
    <w:p>
      <w:r>
        <w:t>Contract: PANDUQualityRegistry. MVP network: Arbitrum Sepolia. Access control is required.</w:t>
      </w:r>
    </w:p>
    <w:p>
      <w:r>
        <w:t>Frozen interface:</w:t>
      </w:r>
    </w:p>
    <w:p>
      <w:pPr>
        <w:pStyle w:val="ListBullet"/>
      </w:pPr>
      <w:r>
        <w:rPr>
          <w:rFonts w:ascii="Courier New" w:hAnsi="Courier New"/>
        </w:rPr>
        <w:t>anchorProof(bytes32 proofId, bytes32 batchRef, bytes32 evidenceHash)</w:t>
      </w:r>
    </w:p>
    <w:p>
      <w:pPr>
        <w:pStyle w:val="ListBullet"/>
      </w:pPr>
      <w:r>
        <w:rPr>
          <w:rFonts w:ascii="Courier New" w:hAnsi="Courier New"/>
        </w:rPr>
        <w:t>revokeProof(bytes32 proofId)</w:t>
      </w:r>
    </w:p>
    <w:p>
      <w:pPr>
        <w:pStyle w:val="ListBullet"/>
      </w:pPr>
      <w:r>
        <w:rPr>
          <w:rFonts w:ascii="Courier New" w:hAnsi="Courier New"/>
        </w:rPr>
        <w:t>getProof(bytes32 proofId) view returns (Proof)</w:t>
      </w:r>
    </w:p>
    <w:p>
      <w:r>
        <w:t>Events:</w:t>
      </w:r>
    </w:p>
    <w:p>
      <w:pPr>
        <w:pStyle w:val="ListBullet"/>
      </w:pPr>
      <w:r>
        <w:rPr>
          <w:rFonts w:ascii="Courier New" w:hAnsi="Courier New"/>
        </w:rPr>
        <w:t>ProofAnchored(proofId, batchRef, evidenceHash, attester, timestamp)</w:t>
      </w:r>
    </w:p>
    <w:p>
      <w:pPr>
        <w:pStyle w:val="ListBullet"/>
      </w:pPr>
      <w:r>
        <w:rPr>
          <w:rFonts w:ascii="Courier New" w:hAnsi="Courier New"/>
        </w:rPr>
        <w:t>ProofRevoked(proofId, revoker, timestamp)</w:t>
      </w:r>
    </w:p>
    <w:p>
      <w:r>
        <w:t>Required invariants:</w:t>
      </w:r>
    </w:p>
    <w:p>
      <w:pPr>
        <w:pStyle w:val="ListBullet"/>
      </w:pPr>
      <w:r>
        <w:t>A proofId cannot be anchored twice.</w:t>
      </w:r>
    </w:p>
    <w:p>
      <w:pPr>
        <w:pStyle w:val="ListBullet"/>
      </w:pPr>
      <w:r>
        <w:t>Only the configured relayer can anchor or revoke.</w:t>
      </w:r>
    </w:p>
    <w:p>
      <w:pPr>
        <w:pStyle w:val="ListBullet"/>
      </w:pPr>
      <w:r>
        <w:t>Revocation never deletes historical data.</w:t>
      </w:r>
    </w:p>
    <w:p>
      <w:pPr>
        <w:pStyle w:val="ListBullet"/>
      </w:pPr>
      <w:r>
        <w:t>No PDF, PII, private notes, prices or large metadata are stored on-chain.</w:t>
      </w:r>
    </w:p>
    <w:p>
      <w:pPr>
        <w:pStyle w:val="ListBullet"/>
      </w:pPr>
      <w:r>
        <w:t>Failed transactions must never be surfaced as CONFIRMED.</w:t>
      </w:r>
    </w:p>
    <w:p>
      <w:pPr>
        <w:pStyle w:val="Heading1"/>
      </w:pPr>
      <w:r>
        <w:t>10. Hackathon MVP Roles</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sz w:val="16"/>
              </w:rPr>
              <w:t>Role</w:t>
            </w:r>
          </w:p>
        </w:tc>
        <w:tc>
          <w:tcPr>
            <w:tcW w:type="dxa" w:w="5112"/>
            <w:shd w:fill="17365D"/>
          </w:tcPr>
          <w:p>
            <w:r>
              <w:rPr>
                <w:b/>
                <w:sz w:val="16"/>
              </w:rPr>
              <w:t>P0 Implementation</w:t>
            </w:r>
          </w:p>
        </w:tc>
      </w:tr>
      <w:tr>
        <w:tc>
          <w:tcPr>
            <w:tcW w:type="dxa" w:w="5112"/>
            <w:vAlign w:val="center"/>
          </w:tcPr>
          <w:p>
            <w:r>
              <w:rPr>
                <w:sz w:val="15"/>
              </w:rPr>
              <w:t>ADMIN</w:t>
            </w:r>
          </w:p>
        </w:tc>
        <w:tc>
          <w:tcPr>
            <w:tcW w:type="dxa" w:w="5112"/>
            <w:vAlign w:val="center"/>
          </w:tcPr>
          <w:p>
            <w:r>
              <w:rPr>
                <w:sz w:val="15"/>
              </w:rPr>
              <w:t>Tenant configuration, users and master data.</w:t>
            </w:r>
          </w:p>
        </w:tc>
      </w:tr>
      <w:tr>
        <w:tc>
          <w:tcPr>
            <w:tcW w:type="dxa" w:w="5112"/>
            <w:vAlign w:val="center"/>
          </w:tcPr>
          <w:p>
            <w:r>
              <w:rPr>
                <w:sz w:val="15"/>
              </w:rPr>
              <w:t>QC_INSPECTOR</w:t>
            </w:r>
          </w:p>
        </w:tc>
        <w:tc>
          <w:tcPr>
            <w:tcW w:type="dxa" w:w="5112"/>
            <w:vAlign w:val="center"/>
          </w:tcPr>
          <w:p>
            <w:r>
              <w:rPr>
                <w:sz w:val="15"/>
              </w:rPr>
              <w:t>Create batches, inspections and evidence.</w:t>
            </w:r>
          </w:p>
        </w:tc>
      </w:tr>
      <w:tr>
        <w:tc>
          <w:tcPr>
            <w:tcW w:type="dxa" w:w="5112"/>
            <w:vAlign w:val="center"/>
          </w:tcPr>
          <w:p>
            <w:r>
              <w:rPr>
                <w:sz w:val="15"/>
              </w:rPr>
              <w:t>QA_MANAGER</w:t>
            </w:r>
          </w:p>
        </w:tc>
        <w:tc>
          <w:tcPr>
            <w:tcW w:type="dxa" w:w="5112"/>
            <w:vAlign w:val="center"/>
          </w:tcPr>
          <w:p>
            <w:r>
              <w:rPr>
                <w:sz w:val="15"/>
              </w:rPr>
              <w:t>Approve/reject/reopen, release and generate proof.</w:t>
            </w:r>
          </w:p>
        </w:tc>
      </w:tr>
      <w:tr>
        <w:tc>
          <w:tcPr>
            <w:tcW w:type="dxa" w:w="5112"/>
            <w:vAlign w:val="center"/>
          </w:tcPr>
          <w:p>
            <w:r>
              <w:rPr>
                <w:sz w:val="15"/>
              </w:rPr>
              <w:t>PUBLIC</w:t>
            </w:r>
          </w:p>
        </w:tc>
        <w:tc>
          <w:tcPr>
            <w:tcW w:type="dxa" w:w="5112"/>
            <w:vAlign w:val="center"/>
          </w:tcPr>
          <w:p>
            <w:r>
              <w:rPr>
                <w:sz w:val="15"/>
              </w:rPr>
              <w:t>Read-only verification without wallet/login.</w:t>
            </w:r>
          </w:p>
        </w:tc>
      </w:tr>
      <w:tr>
        <w:tc>
          <w:tcPr>
            <w:tcW w:type="dxa" w:w="5112"/>
            <w:vAlign w:val="center"/>
          </w:tcPr>
          <w:p>
            <w:r>
              <w:rPr>
                <w:sz w:val="15"/>
              </w:rPr>
              <w:t>SYSTEM/RELAYER</w:t>
            </w:r>
          </w:p>
        </w:tc>
        <w:tc>
          <w:tcPr>
            <w:tcW w:type="dxa" w:w="5112"/>
            <w:vAlign w:val="center"/>
          </w:tcPr>
          <w:p>
            <w:r>
              <w:rPr>
                <w:sz w:val="15"/>
              </w:rPr>
              <w:t>Backend-only transaction submission and reconciliation.</w:t>
            </w:r>
          </w:p>
        </w:tc>
      </w:tr>
    </w:tbl>
    <w:p/>
    <w:p>
      <w:r>
        <w:t>The broader ERP role catalogue may retain WHS, PRC, AUD and CUS for the full product roadmap, but the hackathon P0 implementation should not spend time implementing every role.</w:t>
      </w:r>
    </w:p>
    <w:p>
      <w:pPr>
        <w:pStyle w:val="Heading1"/>
      </w:pPr>
      <w:r>
        <w:t>11. Deterministic 3-Minute Judge Demo</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sz w:val="16"/>
              </w:rPr>
              <w:t>Step</w:t>
            </w:r>
          </w:p>
        </w:tc>
        <w:tc>
          <w:tcPr>
            <w:tcW w:type="dxa" w:w="3408"/>
            <w:shd w:fill="17365D"/>
          </w:tcPr>
          <w:p>
            <w:r>
              <w:rPr>
                <w:b/>
                <w:sz w:val="16"/>
              </w:rPr>
              <w:t>Action</w:t>
            </w:r>
          </w:p>
        </w:tc>
        <w:tc>
          <w:tcPr>
            <w:tcW w:type="dxa" w:w="3408"/>
            <w:shd w:fill="17365D"/>
          </w:tcPr>
          <w:p>
            <w:r>
              <w:rPr>
                <w:b/>
                <w:sz w:val="16"/>
              </w:rPr>
              <w:t>Expected Result</w:t>
            </w:r>
          </w:p>
        </w:tc>
      </w:tr>
      <w:tr>
        <w:tc>
          <w:tcPr>
            <w:tcW w:type="dxa" w:w="3408"/>
            <w:vAlign w:val="center"/>
          </w:tcPr>
          <w:p>
            <w:r>
              <w:rPr>
                <w:sz w:val="15"/>
              </w:rPr>
              <w:t>1</w:t>
            </w:r>
          </w:p>
        </w:tc>
        <w:tc>
          <w:tcPr>
            <w:tcW w:type="dxa" w:w="3408"/>
            <w:vAlign w:val="center"/>
          </w:tcPr>
          <w:p>
            <w:r>
              <w:rPr>
                <w:sz w:val="15"/>
              </w:rPr>
              <w:t>QC creates batch</w:t>
            </w:r>
          </w:p>
        </w:tc>
        <w:tc>
          <w:tcPr>
            <w:tcW w:type="dxa" w:w="3408"/>
            <w:vAlign w:val="center"/>
          </w:tcPr>
          <w:p>
            <w:r>
              <w:rPr>
                <w:sz w:val="15"/>
              </w:rPr>
              <w:t>ST-2026-001 / SS400 Steel Plate / PT Baja Nusantara.</w:t>
            </w:r>
          </w:p>
        </w:tc>
      </w:tr>
      <w:tr>
        <w:tc>
          <w:tcPr>
            <w:tcW w:type="dxa" w:w="3408"/>
            <w:vAlign w:val="center"/>
          </w:tcPr>
          <w:p>
            <w:r>
              <w:rPr>
                <w:sz w:val="15"/>
              </w:rPr>
              <w:t>2</w:t>
            </w:r>
          </w:p>
        </w:tc>
        <w:tc>
          <w:tcPr>
            <w:tcW w:type="dxa" w:w="3408"/>
            <w:vAlign w:val="center"/>
          </w:tcPr>
          <w:p>
            <w:r>
              <w:rPr>
                <w:sz w:val="15"/>
              </w:rPr>
              <w:t>Inspection</w:t>
            </w:r>
          </w:p>
        </w:tc>
        <w:tc>
          <w:tcPr>
            <w:tcW w:type="dxa" w:w="3408"/>
            <w:vAlign w:val="center"/>
          </w:tcPr>
          <w:p>
            <w:r>
              <w:rPr>
                <w:sz w:val="15"/>
              </w:rPr>
              <w:t>Thickness = 10.0 mm; allowed 9.5–10.5 mm → PASS.</w:t>
            </w:r>
          </w:p>
        </w:tc>
      </w:tr>
      <w:tr>
        <w:tc>
          <w:tcPr>
            <w:tcW w:type="dxa" w:w="3408"/>
            <w:vAlign w:val="center"/>
          </w:tcPr>
          <w:p>
            <w:r>
              <w:rPr>
                <w:sz w:val="15"/>
              </w:rPr>
              <w:t>3</w:t>
            </w:r>
          </w:p>
        </w:tc>
        <w:tc>
          <w:tcPr>
            <w:tcW w:type="dxa" w:w="3408"/>
            <w:vAlign w:val="center"/>
          </w:tcPr>
          <w:p>
            <w:r>
              <w:rPr>
                <w:sz w:val="15"/>
              </w:rPr>
              <w:t>Evidence</w:t>
            </w:r>
          </w:p>
        </w:tc>
        <w:tc>
          <w:tcPr>
            <w:tcW w:type="dxa" w:w="3408"/>
            <w:vAlign w:val="center"/>
          </w:tcPr>
          <w:p>
            <w:r>
              <w:rPr>
                <w:sz w:val="15"/>
              </w:rPr>
              <w:t>Upload inspection report, certificate and photos. System computes SHA-256.</w:t>
            </w:r>
          </w:p>
        </w:tc>
      </w:tr>
      <w:tr>
        <w:tc>
          <w:tcPr>
            <w:tcW w:type="dxa" w:w="3408"/>
            <w:vAlign w:val="center"/>
          </w:tcPr>
          <w:p>
            <w:r>
              <w:rPr>
                <w:sz w:val="15"/>
              </w:rPr>
              <w:t>4</w:t>
            </w:r>
          </w:p>
        </w:tc>
        <w:tc>
          <w:tcPr>
            <w:tcW w:type="dxa" w:w="3408"/>
            <w:vAlign w:val="center"/>
          </w:tcPr>
          <w:p>
            <w:r>
              <w:rPr>
                <w:sz w:val="15"/>
              </w:rPr>
              <w:t>QA approval</w:t>
            </w:r>
          </w:p>
        </w:tc>
        <w:tc>
          <w:tcPr>
            <w:tcW w:type="dxa" w:w="3408"/>
            <w:vAlign w:val="center"/>
          </w:tcPr>
          <w:p>
            <w:r>
              <w:rPr>
                <w:sz w:val="15"/>
              </w:rPr>
              <w:t>QA approves inspection and releases the batch.</w:t>
            </w:r>
          </w:p>
        </w:tc>
      </w:tr>
      <w:tr>
        <w:tc>
          <w:tcPr>
            <w:tcW w:type="dxa" w:w="3408"/>
            <w:vAlign w:val="center"/>
          </w:tcPr>
          <w:p>
            <w:r>
              <w:rPr>
                <w:sz w:val="15"/>
              </w:rPr>
              <w:t>5</w:t>
            </w:r>
          </w:p>
        </w:tc>
        <w:tc>
          <w:tcPr>
            <w:tcW w:type="dxa" w:w="3408"/>
            <w:vAlign w:val="center"/>
          </w:tcPr>
          <w:p>
            <w:r>
              <w:rPr>
                <w:sz w:val="15"/>
              </w:rPr>
              <w:t>Quality Proof</w:t>
            </w:r>
          </w:p>
        </w:tc>
        <w:tc>
          <w:tcPr>
            <w:tcW w:type="dxa" w:w="3408"/>
            <w:vAlign w:val="center"/>
          </w:tcPr>
          <w:p>
            <w:r>
              <w:rPr>
                <w:sz w:val="15"/>
              </w:rPr>
              <w:t>PANDU-QP-2026-000001 is generated with canonicalization_version=1.</w:t>
            </w:r>
          </w:p>
        </w:tc>
      </w:tr>
      <w:tr>
        <w:tc>
          <w:tcPr>
            <w:tcW w:type="dxa" w:w="3408"/>
            <w:vAlign w:val="center"/>
          </w:tcPr>
          <w:p>
            <w:r>
              <w:rPr>
                <w:sz w:val="15"/>
              </w:rPr>
              <w:t>6</w:t>
            </w:r>
          </w:p>
        </w:tc>
        <w:tc>
          <w:tcPr>
            <w:tcW w:type="dxa" w:w="3408"/>
            <w:vAlign w:val="center"/>
          </w:tcPr>
          <w:p>
            <w:r>
              <w:rPr>
                <w:sz w:val="15"/>
              </w:rPr>
              <w:t>Blockchain anchor</w:t>
            </w:r>
          </w:p>
        </w:tc>
        <w:tc>
          <w:tcPr>
            <w:tcW w:type="dxa" w:w="3408"/>
            <w:vAlign w:val="center"/>
          </w:tcPr>
          <w:p>
            <w:r>
              <w:rPr>
                <w:sz w:val="15"/>
              </w:rPr>
              <w:t>Relayer submits transaction to real Arbitrum Sepolia contract; UI shows PENDING → CONFIRMED and tx hash.</w:t>
            </w:r>
          </w:p>
        </w:tc>
      </w:tr>
      <w:tr>
        <w:tc>
          <w:tcPr>
            <w:tcW w:type="dxa" w:w="3408"/>
            <w:vAlign w:val="center"/>
          </w:tcPr>
          <w:p>
            <w:r>
              <w:rPr>
                <w:sz w:val="15"/>
              </w:rPr>
              <w:t>7</w:t>
            </w:r>
          </w:p>
        </w:tc>
        <w:tc>
          <w:tcPr>
            <w:tcW w:type="dxa" w:w="3408"/>
            <w:vAlign w:val="center"/>
          </w:tcPr>
          <w:p>
            <w:r>
              <w:rPr>
                <w:sz w:val="15"/>
              </w:rPr>
              <w:t>Public verification</w:t>
            </w:r>
          </w:p>
        </w:tc>
        <w:tc>
          <w:tcPr>
            <w:tcW w:type="dxa" w:w="3408"/>
            <w:vAlign w:val="center"/>
          </w:tcPr>
          <w:p>
            <w:r>
              <w:rPr>
                <w:sz w:val="15"/>
              </w:rPr>
              <w:t>Open /verify/[proofId] without wallet/login → VERIFIED.</w:t>
            </w:r>
          </w:p>
        </w:tc>
      </w:tr>
      <w:tr>
        <w:tc>
          <w:tcPr>
            <w:tcW w:type="dxa" w:w="3408"/>
            <w:vAlign w:val="center"/>
          </w:tcPr>
          <w:p>
            <w:r>
              <w:rPr>
                <w:sz w:val="15"/>
              </w:rPr>
              <w:t>8</w:t>
            </w:r>
          </w:p>
        </w:tc>
        <w:tc>
          <w:tcPr>
            <w:tcW w:type="dxa" w:w="3408"/>
            <w:vAlign w:val="center"/>
          </w:tcPr>
          <w:p>
            <w:r>
              <w:rPr>
                <w:sz w:val="15"/>
              </w:rPr>
              <w:t>Tamper scenario</w:t>
            </w:r>
          </w:p>
        </w:tc>
        <w:tc>
          <w:tcPr>
            <w:tcW w:type="dxa" w:w="3408"/>
            <w:vAlign w:val="center"/>
          </w:tcPr>
          <w:p>
            <w:r>
              <w:rPr>
                <w:sz w:val="15"/>
              </w:rPr>
              <w:t>Replace/modify an evidence file, recompute SHA-256 → EVIDENCE MISMATCH.</w:t>
            </w:r>
          </w:p>
        </w:tc>
      </w:tr>
      <w:tr>
        <w:tc>
          <w:tcPr>
            <w:tcW w:type="dxa" w:w="3408"/>
            <w:vAlign w:val="center"/>
          </w:tcPr>
          <w:p>
            <w:r>
              <w:rPr>
                <w:sz w:val="15"/>
              </w:rPr>
              <w:t>9</w:t>
            </w:r>
          </w:p>
        </w:tc>
        <w:tc>
          <w:tcPr>
            <w:tcW w:type="dxa" w:w="3408"/>
            <w:vAlign w:val="center"/>
          </w:tcPr>
          <w:p>
            <w:r>
              <w:rPr>
                <w:sz w:val="15"/>
              </w:rPr>
              <w:t>Revocation</w:t>
            </w:r>
          </w:p>
        </w:tc>
        <w:tc>
          <w:tcPr>
            <w:tcW w:type="dxa" w:w="3408"/>
            <w:vAlign w:val="center"/>
          </w:tcPr>
          <w:p>
            <w:r>
              <w:rPr>
                <w:sz w:val="15"/>
              </w:rPr>
              <w:t>QA revokes proof → REVOKED while historical anchor remains visible.</w:t>
            </w:r>
          </w:p>
        </w:tc>
      </w:tr>
    </w:tbl>
    <w:p/>
    <w:p>
      <w:r>
        <w:t>A local mock adapter may exist for tests only and must be visually labeled MOCK. The judge demo should use a real deployed contract and transaction receipt whenever network access is available.</w:t>
      </w:r>
    </w:p>
    <w:p>
      <w:pPr>
        <w:pStyle w:val="Heading1"/>
      </w:pPr>
      <w:r>
        <w:t>12. MVP / P1 / P2 Boundary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sz w:val="16"/>
              </w:rPr>
              <w:t>Phase</w:t>
            </w:r>
          </w:p>
        </w:tc>
        <w:tc>
          <w:tcPr>
            <w:tcW w:type="dxa" w:w="5112"/>
            <w:shd w:fill="17365D"/>
          </w:tcPr>
          <w:p>
            <w:r>
              <w:rPr>
                <w:b/>
                <w:sz w:val="16"/>
              </w:rPr>
              <w:t>Scope</w:t>
            </w:r>
          </w:p>
        </w:tc>
      </w:tr>
      <w:tr>
        <w:tc>
          <w:tcPr>
            <w:tcW w:type="dxa" w:w="5112"/>
            <w:vAlign w:val="center"/>
          </w:tcPr>
          <w:p>
            <w:r>
              <w:rPr>
                <w:sz w:val="15"/>
              </w:rPr>
              <w:t>P0 Hackathon</w:t>
            </w:r>
          </w:p>
        </w:tc>
        <w:tc>
          <w:tcPr>
            <w:tcW w:type="dxa" w:w="5112"/>
            <w:vAlign w:val="center"/>
          </w:tcPr>
          <w:p>
            <w:r>
              <w:rPr>
                <w:sz w:val="15"/>
              </w:rPr>
              <w:t>Supplier, Material, manual Batch, Inspection, Evidence, QA Approval, Quality Proof, Anchor, Public Verification, Audit Log.</w:t>
            </w:r>
          </w:p>
        </w:tc>
      </w:tr>
      <w:tr>
        <w:tc>
          <w:tcPr>
            <w:tcW w:type="dxa" w:w="5112"/>
            <w:vAlign w:val="center"/>
          </w:tcPr>
          <w:p>
            <w:r>
              <w:rPr>
                <w:sz w:val="15"/>
              </w:rPr>
              <w:t>P1</w:t>
            </w:r>
          </w:p>
        </w:tc>
        <w:tc>
          <w:tcPr>
            <w:tcW w:type="dxa" w:w="5112"/>
            <w:vAlign w:val="center"/>
          </w:tcPr>
          <w:p>
            <w:r>
              <w:rPr>
                <w:sz w:val="15"/>
              </w:rPr>
              <w:t>Procurement, Receiving, Warehouse, NCR, CAPA.</w:t>
            </w:r>
          </w:p>
        </w:tc>
      </w:tr>
      <w:tr>
        <w:tc>
          <w:tcPr>
            <w:tcW w:type="dxa" w:w="5112"/>
            <w:vAlign w:val="center"/>
          </w:tcPr>
          <w:p>
            <w:r>
              <w:rPr>
                <w:sz w:val="15"/>
              </w:rPr>
              <w:t>P2</w:t>
            </w:r>
          </w:p>
        </w:tc>
        <w:tc>
          <w:tcPr>
            <w:tcW w:type="dxa" w:w="5112"/>
            <w:vAlign w:val="center"/>
          </w:tcPr>
          <w:p>
            <w:r>
              <w:rPr>
                <w:sz w:val="15"/>
              </w:rPr>
              <w:t>Production, BOM, Sales, Shipment and broader ERP integrations.</w:t>
            </w:r>
          </w:p>
        </w:tc>
      </w:tr>
    </w:tbl>
    <w:p/>
    <w:p>
      <w:r>
        <w:t>No token, DAO, NFT, DeFi, user wallet, or on-chain private ERP evidence is part of PANDU.</w:t>
      </w:r>
    </w:p>
    <w:p>
      <w:pPr>
        <w:pStyle w:val="Heading1"/>
      </w:pPr>
      <w:r>
        <w:t>13. Implementation Closure Checklist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sz w:val="16"/>
              </w:rPr>
              <w:t>Closure</w:t>
            </w:r>
          </w:p>
        </w:tc>
        <w:tc>
          <w:tcPr>
            <w:tcW w:type="dxa" w:w="5112"/>
            <w:shd w:fill="17365D"/>
          </w:tcPr>
          <w:p>
            <w:r>
              <w:rPr>
                <w:b/>
                <w:sz w:val="16"/>
              </w:rPr>
              <w:t>Acceptance Criterion</w:t>
            </w:r>
          </w:p>
        </w:tc>
      </w:tr>
      <w:tr>
        <w:tc>
          <w:tcPr>
            <w:tcW w:type="dxa" w:w="5112"/>
            <w:vAlign w:val="center"/>
          </w:tcPr>
          <w:p>
            <w:r>
              <w:rPr>
                <w:sz w:val="15"/>
              </w:rPr>
              <w:t>Diagrams</w:t>
            </w:r>
          </w:p>
        </w:tc>
        <w:tc>
          <w:tcPr>
            <w:tcW w:type="dxa" w:w="5112"/>
            <w:vAlign w:val="center"/>
          </w:tcPr>
          <w:p>
            <w:r>
              <w:rPr>
                <w:sz w:val="15"/>
              </w:rPr>
              <w:t>All ARCH/DATA diagrams are embedded as native PNG/SVG assets in the final DOCX; no unavailable placeholders.</w:t>
            </w:r>
          </w:p>
        </w:tc>
      </w:tr>
      <w:tr>
        <w:tc>
          <w:tcPr>
            <w:tcW w:type="dxa" w:w="5112"/>
            <w:vAlign w:val="center"/>
          </w:tcPr>
          <w:p>
            <w:r>
              <w:rPr>
                <w:sz w:val="15"/>
              </w:rPr>
              <w:t>Hashing</w:t>
            </w:r>
          </w:p>
        </w:tc>
        <w:tc>
          <w:tcPr>
            <w:tcW w:type="dxa" w:w="5112"/>
            <w:vAlign w:val="center"/>
          </w:tcPr>
          <w:p>
            <w:r>
              <w:rPr>
                <w:sz w:val="15"/>
              </w:rPr>
              <w:t>TypeScript implementation has golden test vectors matching the specification.</w:t>
            </w:r>
          </w:p>
        </w:tc>
      </w:tr>
      <w:tr>
        <w:tc>
          <w:tcPr>
            <w:tcW w:type="dxa" w:w="5112"/>
            <w:vAlign w:val="center"/>
          </w:tcPr>
          <w:p>
            <w:r>
              <w:rPr>
                <w:sz w:val="15"/>
              </w:rPr>
              <w:t>Solidity</w:t>
            </w:r>
          </w:p>
        </w:tc>
        <w:tc>
          <w:tcPr>
            <w:tcW w:type="dxa" w:w="5112"/>
            <w:vAlign w:val="center"/>
          </w:tcPr>
          <w:p>
            <w:r>
              <w:rPr>
                <w:sz w:val="15"/>
              </w:rPr>
              <w:t>Foundry tests cover anchor, duplicate, unauthorized revoke, revoke, retrieval and events.</w:t>
            </w:r>
          </w:p>
        </w:tc>
      </w:tr>
      <w:tr>
        <w:tc>
          <w:tcPr>
            <w:tcW w:type="dxa" w:w="5112"/>
            <w:vAlign w:val="center"/>
          </w:tcPr>
          <w:p>
            <w:r>
              <w:rPr>
                <w:sz w:val="15"/>
              </w:rPr>
              <w:t>Relayer</w:t>
            </w:r>
          </w:p>
        </w:tc>
        <w:tc>
          <w:tcPr>
            <w:tcW w:type="dxa" w:w="5112"/>
            <w:vAlign w:val="center"/>
          </w:tcPr>
          <w:p>
            <w:r>
              <w:rPr>
                <w:sz w:val="15"/>
              </w:rPr>
              <w:t>Idempotency, nonce handling, retry and reconciliation are tested.</w:t>
            </w:r>
          </w:p>
        </w:tc>
      </w:tr>
      <w:tr>
        <w:tc>
          <w:tcPr>
            <w:tcW w:type="dxa" w:w="5112"/>
            <w:vAlign w:val="center"/>
          </w:tcPr>
          <w:p>
            <w:r>
              <w:rPr>
                <w:sz w:val="15"/>
              </w:rPr>
              <w:t>Public verification</w:t>
            </w:r>
          </w:p>
        </w:tc>
        <w:tc>
          <w:tcPr>
            <w:tcW w:type="dxa" w:w="5112"/>
            <w:vAlign w:val="center"/>
          </w:tcPr>
          <w:p>
            <w:r>
              <w:rPr>
                <w:sz w:val="15"/>
              </w:rPr>
              <w:t>Works without wallet/login and distinguishes VERIFIED/MISMATCH/REVOKED.</w:t>
            </w:r>
          </w:p>
        </w:tc>
      </w:tr>
      <w:tr>
        <w:tc>
          <w:tcPr>
            <w:tcW w:type="dxa" w:w="5112"/>
            <w:vAlign w:val="center"/>
          </w:tcPr>
          <w:p>
            <w:r>
              <w:rPr>
                <w:sz w:val="15"/>
              </w:rPr>
              <w:t>Security</w:t>
            </w:r>
          </w:p>
        </w:tc>
        <w:tc>
          <w:tcPr>
            <w:tcW w:type="dxa" w:w="5112"/>
            <w:vAlign w:val="center"/>
          </w:tcPr>
          <w:p>
            <w:r>
              <w:rPr>
                <w:sz w:val="15"/>
              </w:rPr>
              <w:t>Tenant isolation, RBAC, upload validation and server-side blockchain state validation are tested.</w:t>
            </w:r>
          </w:p>
        </w:tc>
      </w:tr>
      <w:tr>
        <w:tc>
          <w:tcPr>
            <w:tcW w:type="dxa" w:w="5112"/>
            <w:vAlign w:val="center"/>
          </w:tcPr>
          <w:p>
            <w:r>
              <w:rPr>
                <w:sz w:val="15"/>
              </w:rPr>
              <w:t>Demo</w:t>
            </w:r>
          </w:p>
        </w:tc>
        <w:tc>
          <w:tcPr>
            <w:tcW w:type="dxa" w:w="5112"/>
            <w:vAlign w:val="center"/>
          </w:tcPr>
          <w:p>
            <w:r>
              <w:rPr>
                <w:sz w:val="15"/>
              </w:rPr>
              <w:t>Real Sepolia transaction is reproducible from deterministic seed data.</w:t>
            </w:r>
          </w:p>
        </w:tc>
      </w:tr>
      <w:tr>
        <w:tc>
          <w:tcPr>
            <w:tcW w:type="dxa" w:w="5112"/>
            <w:vAlign w:val="center"/>
          </w:tcPr>
          <w:p>
            <w:r>
              <w:rPr>
                <w:sz w:val="15"/>
              </w:rPr>
              <w:t>Business validation</w:t>
            </w:r>
          </w:p>
        </w:tc>
        <w:tc>
          <w:tcPr>
            <w:tcW w:type="dxa" w:w="5112"/>
            <w:vAlign w:val="center"/>
          </w:tcPr>
          <w:p>
            <w:r>
              <w:rPr>
                <w:sz w:val="15"/>
              </w:rPr>
              <w:t>At least 3 target-company interviews are recorded separately from the technical blueprint.</w:t>
            </w:r>
          </w:p>
        </w:tc>
      </w:tr>
    </w:tbl>
    <w:p/>
    <w:p>
      <w:pPr>
        <w:pStyle w:val="Heading1"/>
      </w:pPr>
      <w:r>
        <w:t>14. Final Decision</w:t>
      </w:r>
    </w:p>
    <w:p>
      <w:r>
        <w:t>PANDU v1.5 is the recommended hackathon implementation baseline after the v1.4 review. The core domain scope remains locked. The required work now shifts from blueprint iteration to implementation, integration testing, demo validation and customer/problem validation. Production vendor selection, mainnet choice, enterprise SLA, external ERP integrations and commercial pricing remain explicitly outside the locked technical baseline.</w:t>
      </w:r>
    </w:p>
    <w:p>
      <w:pPr>
        <w:jc w:val="center"/>
      </w:pPr>
      <w:r>
        <w:rPr>
          <w:b/>
        </w:rPr>
        <w:t>PANDU ERP • v1.5 HACKATHON IMPLEMENTATION BASELINE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PANDU • Confidential • v1.5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