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《品牌合作规范》v2.0</w:t>
      </w:r>
    </w:p>
    <w:p>
      <w:pPr>
        <w:pStyle w:val="Heading2"/>
      </w:pPr>
      <w:r>
        <w:t>谁可以接广告</w:t>
      </w:r>
    </w:p>
    <w:p>
      <w:r>
        <w:t>粉丝数 ≥ 1000</w:t>
      </w:r>
    </w:p>
    <w:p>
      <w:r>
        <w:t>近 30 天发布笔记 ≥ 5 篇</w:t>
      </w:r>
    </w:p>
    <w:p>
      <w:r>
        <w:t>无违规记录</w:t>
      </w:r>
    </w:p>
    <w:p>
      <w:pPr>
        <w:pStyle w:val="Heading2"/>
      </w:pPr>
      <w:r>
        <w:t>报备流程</w:t>
      </w:r>
    </w:p>
    <w:p>
      <w:r>
        <w:t>1. 品牌方在「蒲公英平台」下单</w:t>
      </w:r>
    </w:p>
    <w:p>
      <w:r>
        <w:t>2. 博主接单 → 在笔记中标注"赞助"</w:t>
      </w:r>
    </w:p>
    <w:p>
      <w:r>
        <w:t>3. 笔记发布后 24 小时内回填链接</w:t>
      </w:r>
    </w:p>
    <w:p>
      <w:r>
        <w:t>4. 未报备的软广一经发现按违规处理</w:t>
      </w:r>
    </w:p>
    <w:p>
      <w:pPr>
        <w:pStyle w:val="Heading2"/>
      </w:pPr>
      <w:r>
        <w:t>佣金与结算</w:t>
      </w:r>
    </w:p>
    <w:p>
      <w:r>
        <w:t>平台抽成 10%</w:t>
      </w:r>
    </w:p>
    <w:p>
      <w:r>
        <w:t>笔记发布后 7 天结算</w:t>
      </w:r>
    </w:p>
    <w:p>
      <w:r>
        <w:t>提现门槛 100 元起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