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FLOWSIGN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Approval &amp; Request Management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D3D1C7"/>
          <w:sz w:val="24"/>
          <w:szCs w:val="24"/>
        </w:rPr>
        <w:t xml:space="preserve">Product Specification, Design System &amp; Architecture Document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Executive Summary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is a cloud-based internal approval and request management platform designed to eliminate the inefficiency and opacity that plagues manual approval workflows in mid-to-large organisations. Employees raise structured requests — funds, travel, procurement, system access, HR changes, and more — which are automatically routed through configurable approval chains based on amount thresholds, request types, departments, and organisational rules.</w:t>
      </w: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action is logged in an immutable audit trail, making Flowsign the compliance-ready backbone for any organisation that needs to govern how resources and permissions are granted.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one-line pitch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"Approvals used to take days. With Flowsign, they take minutes."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1.1 The problem we solve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 organisations manage approvals through email threads, WhatsApp messages, or disconnected spreadsheets. This creates: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visibility into where a request is stuck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audit trail for compliance or dispute resolution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Inconsistent approval chains — the same request type may be routed differently each 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Approvers overwhelmed with requests mixed into general email inboxes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Employees chasing approvers with no sense of expected resolution time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1.2 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Flowsign fits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50–2,000 staff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Strict audit trail requirements, multi-level fund approvals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NGOs &amp; development orgs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20–500 staff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Donor fund governance, travel approvals, distributed teams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Healthcare administration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100–5,000 staff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Procurement approval, access control, compliance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Government &amp; public sector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50–10,000 staff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Regulatory compliance, budget governance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Technology companies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30–1,000 staff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 requests, equipment, fast-moving teams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Product Overview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Core request types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handles six primary request categories out of the box. Organisations can extend with custom types.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rPr>
          <w:tblHeader/>
        </w:trP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50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Funds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Petty cash, budget top-up, vendor payment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Amount, cost centre, justification, supporting invoice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Travel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Domestic trip, international conference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Destination, travel dates, purpose, estimated cost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Asset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Laptop, equipment, furniture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Asset type, specification, urgency, cost estimate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System access, building access, data access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System name, access level, business justification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Annual leave, overtime, training, contract change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Leave type, dates, line manager note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Org-defined types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Admin-configured fields per type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Approval workflow engine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workflow engine is the core of Flowsign. Administrators configure approval chains using a rule builder — no code required.</w:t>
      </w:r>
    </w:p>
    <w:p/>
    <w:p>
      <w:pPr>
        <w:spacing w:after="12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 workflow rule defines: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 conditions — request type, amount threshold, department, urgency level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Approver sequence — ordered list of approver roles (e.g. Line Manager → Finance → CFO)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Escalation rules — auto-escalate after N hours of inaction, or send reminder after N hours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Parallel vs sequential — require all approvers simultaneously, or in strict order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Override conditions — bypass levels for trusted requesters or low-risk amounts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Example rule — funds request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request type = Funds AND amount &gt; $5,000: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Step 1: Line Manager (must approve within 24h)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Step 2: Finance Controller (must approve within 48h)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Step 3: CFO (must approve within 48h)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Escalate to HOD if any step exceeds deadline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Employee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Own requests only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Raise request, view own status, add comments, upload attachments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Team requests + approval queue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Approve/reject, request more info, view team analytics, delegate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Finance-type tickets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 fund requests, view budget reports, add payment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 Officer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HR-type tickets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 leave/HR requests, view team leave calendar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IT Admin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Access/asset tickets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 system access requests, manage asset register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 Admin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Everything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Configure workflows, manage users, view audit log, org settings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Brand Identity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Brand name: Flowsign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name was chosen for two deliberate reasons: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 — evokes movement, routing, and process. Approvals should move, not get stuck.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Sign — evokes authorisation, signature, and official sanction. The decisive moment when something is approved.</w:t>
      </w: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Together, Flowsign communicates: requests flow through the right people and get signed off efficiently. The name is short (two syllables), easy to say in any language, and domain-registrable.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Brand positioning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positions itself as the serious, reliable choice for organisations that need governance — not just workflow. This differentiates it from lighter task tools like Trello or Asana, and from heavyweight ERP systems like SAP.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 axis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</w:t>
            </w:r>
          </w:p>
        </w:tc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 not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Trustworthy, efficient, clear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Playful, casual, trendy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Powerful but approachable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Enterprise-complex or toy-simple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Like a reliable colleague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Like an IT system to fear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Competitor category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Workflow governance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management or ERP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Tagline options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request, routed right. Every approval, signed fast.  [Recommended — primary]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Approvals that move at the speed of your work.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more chasing. Approvals move, work moves.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From request to resolution — without the back-and-forth.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Design System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uses a carefully considered design system built on shadcn/ui component primitives and a custom Tailwind CSS theme. Every colour, spacing value, and typographic choice is intentional and documented here as the single source of truth.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4.1 Primary colour palette — Teal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Teal is the Flowsign primary brand colour. It communicates trust, growth, and forward movement — the same emotional register as approved healthcare organisations and financial institutions, but with more vitality than corporate navy or grey.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6300"/>
      </w:tblGrid>
      <w:tr>
        <w:trPr>
          <w:tblHeader/>
        </w:trP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6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#085041  Teal-800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Dark text on teal backgrounds; deep emphasis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#0F6E56  Teal-600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PRIMARY — logo, primary buttons, active nav items, key headings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#1D9E75  Teal-400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Hover states, section headings, icon accents, success indicators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FE1C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#9FE1CB  Teal-200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Dividers, borders on teal cards, decorative lines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#E1F5EE  Teal-50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Info box backgrounds, sidebar active item background, subtle washes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4.2 Secondary colour palette — Blue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Blue is used for informational states, links, and secondary interactive elements. It reinforces the teal palette without competing with 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6300"/>
      </w:tblGrid>
      <w:tr>
        <w:trPr>
          <w:tblHeader/>
        </w:trP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6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#185FA5  Blue-600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Hyperlinks, pending-approval badge text, secondary buttons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#378ADD  Blue-400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 card accents, chart lines, icon highlights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#E6F1FB  Blue-50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Pending badge background, info callout backgrounds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4.3 Neutral palette — Warm grey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Warm grey (not cold grey) keeps the UI feeling human. It is used for all body text, borders, backgrounds, and structural elements.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6300"/>
      </w:tblGrid>
      <w:tr>
        <w:trPr>
          <w:tblHeader/>
        </w:trP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6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#2C2C2A  Gray-900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body text, headings, table content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#5F5E5A  Gray-600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Secondary text, metadata, timestamps, labels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#D3D1C7  Gray-200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borders, table dividers, horizontal rules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2C2A"/>
                <w:sz w:val="18"/>
                <w:szCs w:val="18"/>
              </w:rPr>
              <w:t xml:space="preserve">#F1EFE8  Gray-50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Page background, alternate table row tint, input backgrounds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4.4 Semantic / status colours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colours are used exclusively to communicate ticket and request status. Do not use them for decorative purposes — their meaning must remain unambiguous.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2700"/>
        <w:gridCol w:w="5220"/>
      </w:tblGrid>
      <w:tr>
        <w:trPr>
          <w:tblHeader/>
        </w:trP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</w:t>
            </w:r>
          </w:p>
        </w:tc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pair</w:t>
            </w:r>
          </w:p>
        </w:tc>
        <w:tc>
          <w:tcPr>
            <w:tcW w:type="dxa" w:w="52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6D1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bg #EAF3DE / text #3B6D11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Approved status badge, success toast, completed timeline step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bg #FAEEDA / text #854F0B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Pending badge, awaiting action, escalation warning banners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32D2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bg #FCEBEB / text #A32D2D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Rejected badge, destructive action buttons, error toasts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bg #EEEDFE / text #534AB7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In-review badge, neutral informational state, system messages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4.5 Typography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uses a two-font system. No other fonts should be introduced without a design review.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5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 / Interface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dashboard text, labels, nav, buttons. Clean, legible at small sizes.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Marketing / Landing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Neue Haas Grotesk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Headings on public-facing pages. Premium, distinctive.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 / Monospace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keys, IDs, technical values, code examples.</w:t>
            </w:r>
          </w:p>
        </w:tc>
      </w:tr>
    </w:tbl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Type scale (in pixels, base 16px):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4320"/>
      </w:tblGrid>
      <w:tr>
        <w:trPr>
          <w:tblHeader/>
        </w:trPr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text-xs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Timestamps, helper text, captions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text-sm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400 / 500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 data, badge labels, metadata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text-base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16px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Body text, form inputs, descriptions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text-lg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 titles, section headings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text-xl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Page headings, stat card numbers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text-2xl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24px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metrics, modal titles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text-4xl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36px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700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Landing page hero heading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Technology Stack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framework — routing, SSR, API routes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safety across all components and APIs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shadcn/ui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Accessible, composable UI component primitives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state management + caching + optimistic updates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Multi-step form state + validation schemas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Consistent icon system (open source)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REST API handlers — collocated with frontend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Type-safe database access + migrations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15+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Authentication — OAuth + credentials + JWT sessions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Resend / Nodemailer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Transactional email notifications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Uploadthing / S3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File attachment storage for ticket documents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5.3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Hosting + edge deployment + preview environments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Neon / Supabase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Managed PostgreSQL with branching for dev/staging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CI/CD — lint, type-check, test, deploy on merge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End-to-end tests for critical approval flows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Vitest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Sentry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Error monitoring + performance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Posthog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 analytics — funnel tracking, feature flags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Architecture &amp; SOLID Principles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is built with explicit adherence to SOLID design principles. This section documents how each principle is applied so that any developer joining the project understands the architectural intent.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Single Responsibility Principle (SRP)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file and component does exactly one job. This is enforced structurally: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TicketStatusBadge.tsx — renders a status badge. Nothing else.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useApproveTicket.ts — manages the approve mutation. No UI.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formatCurrency.ts — formats a number as currency. No React, no side-effects.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tickets.api.ts — contains all fetch calls for ticket endpoints. No components.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Rule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you need to describe what a file does and you use the word 'and', it violates SRP. Split it.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Open/Closed Principle (OCP)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system is open for extension, closed for modification. Adding a new request type — for example, a vehicle request — requires: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VehicleRequestFields.tsx in components/request-form/fields/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VEHICLE to the REQUEST_TYPE enum in requestType.constants.ts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Zod schema in validateRequestForm.ts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workflow rule in the admin panel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existing components are modified. Nothing breaks.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Liskov Substitution / Interface Segregation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Components receive narrow, specific props — never a 'god object'. A TicketCard only receives TicketCardProps (id, title, status, type, amount, raisedBy, createdAt). It does not receive the full Ticket domain object with 30+ fields.</w:t>
      </w: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types are defined in types/ and imported directly — components never infer types from API responses. This means a change to the API shape breaks at compile time, not at runtime.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6.4 Dependency Inversion Principle (DIP)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UI components depend on abstractions (hooks), not implementations (fetch calls).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TicketTable component imports useTickets(), not fetch('/api/tickets')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Swapping React Query for SWR or a different API layer means editing hooks/ only — zero component changes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makes components trivially testable — mock the hook, test the UI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6.5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rPr>
          <w:tblHeader/>
        </w:trPr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5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TicketStatusBadge.tsx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React components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camelCase + use prefix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useApproveTicket.ts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custom hooks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camelCase + .api suffix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tickets.api.ts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client modules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camelCase + .types suffix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ticket.types.ts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TypeScript type files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camelCase + .constants suffix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ticketStatus.constants.ts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Constant/enum files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PascalCase + Context suffix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SidebarContext.tsx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context providers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TICKET_STATUS.PENDING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Enum values and constants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Key Screens &amp; User Flows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Employee portal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employee view is intentionally minimal. Employees are not power users — they raise requests and track their status. The UI must be self-explanatory with zero training.</w:t>
      </w: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Key screens: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Home / My Requests — filtered list of own tickets with status, type, and amount at a glance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New Request — 4-step guided form: (1) choose type, (2) fill details, (3) attach documents, (4) review and submit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Request Detail — timeline of all approver actions, comments thread, current status, expected next action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Manager dashboard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manager view is action-oriented. The primary job is to reduce queue depth. The UI surfaces the most urgent items first with one-click approve / reject from the list view.</w:t>
      </w: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Key screens: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Approval Queue — filterable by type, status, amount, date; sortable by urgency; inline approve/reject from the list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Ticket Review — full ticket detail with approval action panel, comment thread, document viewer, approval chain status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Team Overview — all team members' open requests; delegation settings; leave calendar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Reports — approval volume over time, average resolution time, rejection rates by type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7.3 Admin panel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admin view is configuration-focused. Changes here affect the entire organisation's workflow behaviour.</w:t>
      </w: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Key screens: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Workflow Builder — drag-and-drop approval chain configuration with condition rules (IF amount &gt; X, THEN route to...)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Management — invite, assign roles, deactivate; role history per user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Log — immutable, filterable record of every action taken on every ticket; exportable to CSV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Org Settings — company name, branding, notification preferences, integration webhooks, feature flags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7.4 Critical user flows</w:t>
      </w:r>
    </w:p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flows must work end-to-end and are covered by Playwright e2e tests: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64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Raise a funds request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Employee logs in → New Request → Funds → fills details → attaches invoice → submits → confirmation screen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 approves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 receives email → clicks link → lands on ticket → reads details → clicks Approve → adds comment → confirmed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 rejects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 reviews ticket → clicks Reject → enters reason (required) → confirms → employee notified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Escalation triggered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Approver misses 24h window → system auto-escalates → HOD notified → appears in HOD queue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creates workflow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→ Workflows → New → sets trigger conditions → adds approval steps → sets escalation → saves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Pricing Strategy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spacing w:after="12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Flowsign uses a per-seat SaaS pricing model. Pricing is tiered by organisation size to allow entry at low cost and expansion revenue as usage grows.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Seats</w:t>
            </w:r>
          </w:p>
        </w:tc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Starter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$49 /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 to 25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request types, 3 workflow rules, email notifications, 30-day audit log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$149 /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 to 100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 workflows, escalation engine, delegation, analytics dashboard, 1-year audit log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$399 /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 to 500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SSO (SAML/OIDC), API access, custom request types, SLA support, unlimited audit log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On-prem option, dedicated support, custom SLA, security review, volume discounts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Pricing rationale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Compliance-sensitive buyers (finance, healthcare, public sector) are willing to pay for audit trail and SSO — these are reserved for Business tier to drive upgrades.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Starter is deliberately low to reduce friction for initial adoption in SMBs.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Enterprise custom pricing unlocks regional and reseller partnership deals.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Development Roadmap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1 — MVP (Months 1–3)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Employee request submission — all 5 core types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Manager approval queue — approve, reject, comment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Basic workflow engine — sequential approval chains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notifications — submit, approve, reject events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log — basic read-only 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Role-based access — employee, manager, admin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2 — Growth (Months 4–6)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Workflow condition builder — IF/THEN rules, amount thresholds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Escalation engine — auto-escalate on SLA breach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Manager delegation — out-of-office routing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Analytics dashboard — volume, resolution time, rejection rate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File attachments — S3-backed document upload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Mobile-responsive UI — full support on tablet and phone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3 — Business (Months 7–9)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SSO — SAML 2.0 and OIDC support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Public API — webhook events + REST API for integrations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 request types — admin-defined fields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Slack and Teams integration — approve directly from message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Advanced reporting — exportable CSV/Excel reports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Multi-currency support — amounts in local currency with FX conversion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Phase 4 — Enterprise (Month 10+)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On-premise deployment option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 branding — white-label for reseller partners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Multi-org support — group companies under one admin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AI-assisted routing — suggest optimal approval chains from historical data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Compliance packs — SOC 2, ISO 27001 documentation bundles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Appendix — Quick Reference</w:t>
      </w:r>
    </w:p>
    <w:p>
      <w:pPr>
        <w:pBdr>
          <w:bottom w:val="single" w:color="9FE1CB" w:sz="4" w:space="1"/>
        </w:pBdr>
        <w:spacing w:after="120" w:before="120"/>
      </w:pP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10.1 Colour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2160"/>
        <w:gridCol w:w="4140"/>
      </w:tblGrid>
      <w:tr>
        <w:trPr>
          <w:tblHeader/>
        </w:trP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#0F6E56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Brand Teal-600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Logo, primary buttons, active nav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#1D9E75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Brand Teal-400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Hover states, section headings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#E1F5EE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Brand Teal-50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Info box backgrounds, sidebar wash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#185FA5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Brand Blue-600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Links, pending badge text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#2C2C2A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Neutral Gray-900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Primary body text, table content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#F1EFE8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Neutral Gray-50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Page background, alternate row tint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#EAF3DE / #3B6D11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Success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Approved badge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#FAEEDA / #854F0B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Warning / Pending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badge, escalation banners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#FCEBEB / #A32D2D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Danger / Rejected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Rejected badge, error states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#EEEDFE / #534AB7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Info / In-review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In-review badge, informational states</w:t>
            </w:r>
          </w:p>
        </w:tc>
      </w:tr>
    </w:tbl>
    <w:p/>
    <w:p/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D3D1C7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of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6E56"/>
              <w:sz w:val="22"/>
              <w:szCs w:val="22"/>
            </w:rPr>
            <w:t xml:space="preserve">Flowsign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F5E5A"/>
              <w:sz w:val="18"/>
              <w:szCs w:val="18"/>
            </w:rPr>
            <w:t xml:space="preserve">Product Specification &amp; Design Document</w:t>
          </w:r>
        </w:p>
      </w:tc>
    </w:tr>
  </w:tbl>
  <w:p>
    <w:pPr>
      <w:pBdr>
        <w:bottom w:val="single" w:color="9FE1CB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2026-05-09T19:19:07.333Z</dcterms:created>
  <dcterms:modified xsi:type="dcterms:W3CDTF">2026-05-09T19:19:07.333Z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