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B313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 xml:space="preserve">Отчёт по 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2"/>
          <w:szCs w:val="32"/>
          <w:lang w:val="en-US" w:eastAsia="zh-CN" w:bidi="ar"/>
        </w:rPr>
        <w:t>Кейс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2"/>
          <w:szCs w:val="32"/>
          <w:lang w:val="ru-RU" w:eastAsia="zh-CN" w:bidi="ar"/>
        </w:rPr>
        <w:t>у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1.2.</w:t>
      </w:r>
    </w:p>
    <w:p w14:paraId="00C3E62E">
      <w:pPr>
        <w:rPr>
          <w:rFonts w:hint="default" w:ascii="Arial" w:hAnsi="Arial" w:cs="Arial"/>
          <w:b w:val="0"/>
          <w:bCs w:val="0"/>
          <w:sz w:val="32"/>
          <w:szCs w:val="32"/>
          <w:lang w:val="ru-RU"/>
        </w:rPr>
      </w:pPr>
    </w:p>
    <w:p w14:paraId="0ED38BFD">
      <w:pPr>
        <w:rPr>
          <w:rFonts w:hint="default" w:ascii="Arial" w:hAnsi="Arial"/>
          <w:b w:val="0"/>
          <w:bCs w:val="0"/>
          <w:sz w:val="28"/>
          <w:szCs w:val="28"/>
          <w:lang w:val="ru-RU"/>
        </w:rPr>
      </w:pPr>
      <w:r>
        <w:rPr>
          <w:rFonts w:hint="default" w:ascii="Arial" w:hAnsi="Arial"/>
          <w:b w:val="0"/>
          <w:bCs w:val="0"/>
          <w:sz w:val="28"/>
          <w:szCs w:val="28"/>
          <w:lang w:val="ru-RU"/>
        </w:rPr>
        <w:t>1. Карточка ООО Мотик с отображением Мотик (Саратов) и Мотик</w:t>
      </w:r>
    </w:p>
    <w:p w14:paraId="7B6ECD00">
      <w:pPr>
        <w:rPr>
          <w:rFonts w:hint="default" w:ascii="Arial" w:hAnsi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/>
          <w:b w:val="0"/>
          <w:bCs w:val="0"/>
          <w:sz w:val="28"/>
          <w:szCs w:val="28"/>
          <w:lang w:val="ru-RU"/>
        </w:rPr>
        <w:t>(Екатеринбург), шаг 2</w:t>
      </w:r>
      <w:r>
        <w:rPr>
          <w:rFonts w:hint="default" w:ascii="Arial" w:hAnsi="Arial"/>
          <w:b w:val="0"/>
          <w:bCs w:val="0"/>
          <w:sz w:val="28"/>
          <w:szCs w:val="28"/>
          <w:lang w:val="en-US"/>
        </w:rPr>
        <w:t>:</w:t>
      </w:r>
    </w:p>
    <w:p w14:paraId="02B638EB">
      <w:pPr>
        <w:rPr>
          <w:rFonts w:hint="default" w:ascii="Arial" w:hAnsi="Arial"/>
          <w:b w:val="0"/>
          <w:bCs w:val="0"/>
          <w:sz w:val="28"/>
          <w:szCs w:val="28"/>
          <w:lang w:val="ru-RU"/>
        </w:rPr>
      </w:pPr>
    </w:p>
    <w:p w14:paraId="0A1D7142">
      <w:pPr>
        <w:rPr>
          <w:rFonts w:hint="default" w:ascii="Arial" w:hAnsi="Arial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7275195" cy="4092575"/>
            <wp:effectExtent l="0" t="0" r="952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7519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ADB7">
      <w:pPr>
        <w:rPr>
          <w:rFonts w:hint="default" w:ascii="Arial" w:hAnsi="Arial"/>
          <w:b w:val="0"/>
          <w:bCs w:val="0"/>
          <w:sz w:val="32"/>
          <w:szCs w:val="32"/>
          <w:lang w:val="ru-RU"/>
        </w:rPr>
      </w:pPr>
    </w:p>
    <w:p w14:paraId="1E89BA74">
      <w:pPr>
        <w:rPr>
          <w:rFonts w:hint="default" w:ascii="Arial" w:hAnsi="Arial"/>
          <w:b w:val="0"/>
          <w:bCs w:val="0"/>
          <w:sz w:val="28"/>
          <w:szCs w:val="28"/>
          <w:lang w:val="ru-RU"/>
        </w:rPr>
      </w:pPr>
      <w:r>
        <w:rPr>
          <w:rFonts w:hint="default" w:ascii="Arial" w:hAnsi="Arial"/>
          <w:b w:val="0"/>
          <w:bCs w:val="0"/>
          <w:sz w:val="28"/>
          <w:szCs w:val="28"/>
          <w:lang w:val="ru-RU"/>
        </w:rPr>
        <w:t>2. Список номенклатуры после загрузки из файла (документ ввода начальных</w:t>
      </w:r>
    </w:p>
    <w:p w14:paraId="4EF91E94">
      <w:pPr>
        <w:rPr>
          <w:rFonts w:hint="default" w:ascii="Arial" w:hAnsi="Arial"/>
          <w:b w:val="0"/>
          <w:bCs w:val="0"/>
          <w:sz w:val="28"/>
          <w:szCs w:val="28"/>
          <w:lang w:val="en-US"/>
        </w:rPr>
      </w:pPr>
      <w:r>
        <w:rPr>
          <w:rFonts w:hint="default" w:ascii="Arial" w:hAnsi="Arial"/>
          <w:b w:val="0"/>
          <w:bCs w:val="0"/>
          <w:sz w:val="28"/>
          <w:szCs w:val="28"/>
          <w:lang w:val="ru-RU"/>
        </w:rPr>
        <w:t>остатков), шаг 3</w:t>
      </w:r>
      <w:r>
        <w:rPr>
          <w:rFonts w:hint="default" w:ascii="Arial" w:hAnsi="Arial"/>
          <w:b w:val="0"/>
          <w:bCs w:val="0"/>
          <w:sz w:val="28"/>
          <w:szCs w:val="28"/>
          <w:lang w:val="en-US"/>
        </w:rPr>
        <w:t>:</w:t>
      </w:r>
    </w:p>
    <w:p w14:paraId="76DEF44A">
      <w:pPr>
        <w:rPr>
          <w:rFonts w:hint="default" w:ascii="Arial" w:hAnsi="Arial"/>
          <w:b w:val="0"/>
          <w:bCs w:val="0"/>
          <w:sz w:val="32"/>
          <w:szCs w:val="32"/>
          <w:lang w:val="ru-RU"/>
        </w:rPr>
      </w:pPr>
    </w:p>
    <w:p w14:paraId="428E4EBC">
      <w:pPr>
        <w:rPr>
          <w:rFonts w:hint="default" w:ascii="Arial" w:hAnsi="Arial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7750810" cy="4360545"/>
            <wp:effectExtent l="0" t="0" r="6350" b="133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CCE3">
      <w:pPr>
        <w:rPr>
          <w:rFonts w:hint="default" w:ascii="Arial" w:hAnsi="Arial"/>
          <w:b w:val="0"/>
          <w:bCs w:val="0"/>
          <w:sz w:val="28"/>
          <w:szCs w:val="28"/>
          <w:lang w:val="ru-RU"/>
        </w:rPr>
      </w:pPr>
    </w:p>
    <w:p w14:paraId="2CCE37A0">
      <w:pPr>
        <w:numPr>
          <w:ilvl w:val="0"/>
          <w:numId w:val="1"/>
        </w:numPr>
        <w:rPr>
          <w:rFonts w:hint="default" w:ascii="Arial" w:hAnsi="Arial"/>
          <w:b w:val="0"/>
          <w:bCs w:val="0"/>
          <w:sz w:val="28"/>
          <w:szCs w:val="28"/>
          <w:lang w:val="ru-RU"/>
        </w:rPr>
      </w:pPr>
      <w:r>
        <w:rPr>
          <w:rFonts w:hint="default" w:ascii="Arial" w:hAnsi="Arial"/>
          <w:b w:val="0"/>
          <w:bCs w:val="0"/>
          <w:sz w:val="28"/>
          <w:szCs w:val="28"/>
          <w:lang w:val="ru-RU"/>
        </w:rPr>
        <w:t>Отчёт контроль ввода остатков, шаг 3</w:t>
      </w:r>
      <w:r>
        <w:rPr>
          <w:rFonts w:hint="default" w:ascii="Arial" w:hAnsi="Arial"/>
          <w:b w:val="0"/>
          <w:bCs w:val="0"/>
          <w:sz w:val="28"/>
          <w:szCs w:val="28"/>
          <w:lang w:val="en-US"/>
        </w:rPr>
        <w:t>:</w:t>
      </w:r>
    </w:p>
    <w:p w14:paraId="101377C5">
      <w:pPr>
        <w:numPr>
          <w:numId w:val="0"/>
        </w:numPr>
        <w:rPr>
          <w:rFonts w:hint="default" w:ascii="Arial" w:hAnsi="Arial"/>
          <w:b w:val="0"/>
          <w:bCs w:val="0"/>
          <w:sz w:val="28"/>
          <w:szCs w:val="28"/>
          <w:lang w:val="ru-RU"/>
        </w:rPr>
      </w:pPr>
    </w:p>
    <w:p w14:paraId="37F94383">
      <w:pPr>
        <w:numPr>
          <w:ilvl w:val="0"/>
          <w:numId w:val="0"/>
        </w:numPr>
        <w:rPr>
          <w:rFonts w:hint="default" w:ascii="Arial" w:hAnsi="Arial"/>
          <w:b w:val="0"/>
          <w:bCs w:val="0"/>
          <w:sz w:val="32"/>
          <w:szCs w:val="32"/>
          <w:lang w:val="ru-RU"/>
        </w:rPr>
      </w:pPr>
      <w:r>
        <w:drawing>
          <wp:inline distT="0" distB="0" distL="114300" distR="114300">
            <wp:extent cx="8257540" cy="4645025"/>
            <wp:effectExtent l="0" t="0" r="2540" b="317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9510">
      <w:pPr>
        <w:numPr>
          <w:ilvl w:val="0"/>
          <w:numId w:val="0"/>
        </w:numPr>
        <w:rPr>
          <w:rFonts w:hint="default" w:ascii="Arial" w:hAnsi="Arial"/>
          <w:b w:val="0"/>
          <w:bCs w:val="0"/>
          <w:sz w:val="32"/>
          <w:szCs w:val="32"/>
          <w:lang w:val="ru-RU"/>
        </w:rPr>
      </w:pPr>
    </w:p>
    <w:p w14:paraId="0565E784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/>
          <w:b w:val="0"/>
          <w:bCs w:val="0"/>
          <w:sz w:val="28"/>
          <w:szCs w:val="28"/>
          <w:lang w:val="ru-RU"/>
        </w:rPr>
      </w:pPr>
      <w:r>
        <w:rPr>
          <w:rFonts w:hint="default" w:ascii="Arial" w:hAnsi="Arial"/>
          <w:b w:val="0"/>
          <w:bCs w:val="0"/>
          <w:sz w:val="28"/>
          <w:szCs w:val="28"/>
          <w:lang w:val="ru-RU"/>
        </w:rPr>
        <w:t>Воронка продаж, шаг 11</w:t>
      </w:r>
      <w:r>
        <w:rPr>
          <w:rFonts w:hint="default" w:ascii="Arial" w:hAnsi="Arial"/>
          <w:b w:val="0"/>
          <w:bCs w:val="0"/>
          <w:sz w:val="28"/>
          <w:szCs w:val="28"/>
          <w:lang w:val="en-US"/>
        </w:rPr>
        <w:t>:</w:t>
      </w:r>
    </w:p>
    <w:p w14:paraId="409CAAD4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8"/>
          <w:szCs w:val="28"/>
          <w:lang w:val="ru-RU"/>
        </w:rPr>
      </w:pPr>
    </w:p>
    <w:p w14:paraId="49EB3B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8191500" cy="4608195"/>
            <wp:effectExtent l="0" t="0" r="7620" b="952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03AE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Отчет по кейсу 2_1</w:t>
      </w:r>
    </w:p>
    <w:p w14:paraId="6E3F9B5A">
      <w:pPr>
        <w:rPr>
          <w:rFonts w:hint="default"/>
          <w:lang w:val="ru-RU"/>
        </w:rPr>
      </w:pPr>
    </w:p>
    <w:p w14:paraId="3D45305D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Заказ клиента после проведения, вкладка 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Товары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</w:t>
      </w:r>
    </w:p>
    <w:p w14:paraId="094FDE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5F0E4A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</w:pPr>
      <w:r>
        <w:drawing>
          <wp:inline distT="0" distB="0" distL="114300" distR="114300">
            <wp:extent cx="7872095" cy="4428490"/>
            <wp:effectExtent l="0" t="0" r="6985" b="635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72095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B16F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bookmarkStart w:id="0" w:name="_GoBack"/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Отчет 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Движение денежных средств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, табличная часть</w:t>
      </w:r>
      <w:bookmarkEnd w:id="0"/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:</w:t>
      </w:r>
    </w:p>
    <w:p w14:paraId="5D7E8E3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</w:p>
    <w:p w14:paraId="547323C5">
      <w:r>
        <w:drawing>
          <wp:inline distT="0" distB="0" distL="114300" distR="114300">
            <wp:extent cx="8325485" cy="4683125"/>
            <wp:effectExtent l="0" t="0" r="10795" b="1079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25485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D953"/>
    <w:p w14:paraId="2CC16B29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Отчет по кейсу 2_2.</w:t>
      </w:r>
    </w:p>
    <w:p w14:paraId="66F814E0">
      <w:pPr>
        <w:rPr>
          <w:rFonts w:hint="default"/>
          <w:lang w:val="ru-RU"/>
        </w:rPr>
      </w:pPr>
    </w:p>
    <w:p w14:paraId="10251952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Заказ клиента после проведения, вкладка Товары (Шаг 4)</w:t>
      </w:r>
    </w:p>
    <w:p w14:paraId="50EE3C51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5E47DCAC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7831455" cy="4405630"/>
            <wp:effectExtent l="0" t="0" r="1905" b="1397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1455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70921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Отчет Остатки и доступность товаров, раскрытый до заказа клиента (шаг 6)</w:t>
      </w:r>
    </w:p>
    <w:p w14:paraId="7FFEE6B5">
      <w:pPr>
        <w:rPr>
          <w:rFonts w:hint="default"/>
          <w:lang w:val="ru-RU"/>
        </w:rPr>
      </w:pPr>
    </w:p>
    <w:p w14:paraId="2C7F6CE5">
      <w:pPr>
        <w:rPr>
          <w:rFonts w:hint="default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81BCC6"/>
    <w:multiLevelType w:val="singleLevel"/>
    <w:tmpl w:val="9B81BCC6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49E334E"/>
    <w:multiLevelType w:val="singleLevel"/>
    <w:tmpl w:val="B49E334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E836078"/>
    <w:multiLevelType w:val="singleLevel"/>
    <w:tmpl w:val="5E83607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157FB"/>
    <w:rsid w:val="08B576D2"/>
    <w:rsid w:val="0DC0399B"/>
    <w:rsid w:val="0E0157FB"/>
    <w:rsid w:val="23593C8E"/>
    <w:rsid w:val="299B11DB"/>
    <w:rsid w:val="2CC07376"/>
    <w:rsid w:val="2E0375D9"/>
    <w:rsid w:val="3A6F45A4"/>
    <w:rsid w:val="3BF27D19"/>
    <w:rsid w:val="3E535C3B"/>
    <w:rsid w:val="451F5006"/>
    <w:rsid w:val="47FE1F9A"/>
    <w:rsid w:val="5192584F"/>
    <w:rsid w:val="5B1C4214"/>
    <w:rsid w:val="61CF1286"/>
    <w:rsid w:val="63E1404C"/>
    <w:rsid w:val="65C068E8"/>
    <w:rsid w:val="702B091A"/>
    <w:rsid w:val="70606FEC"/>
    <w:rsid w:val="70BD7AF0"/>
    <w:rsid w:val="7586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2025-12-20T13:52:00Z</dcterms:created>
  <dc:creator>Макс Гапотченко</dc:creator>
  <cp:lastModifiedBy>Макс Гапотченко</cp:lastModifiedBy>
  <dcterms:modified xsi:type="dcterms:W3CDTF">2025-12-24T09:22:28Z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C5BA707D475745E68E1BA642C8732D9F_11</vt:lpwstr>
  </property>
</Properties>
</file>