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5FA3"/>
          <w:sz w:val="52"/>
          <w:szCs w:val="52"/>
        </w:rPr>
        <w:t xml:space="preserve">Databricks Data Governance</w:t>
      </w:r>
    </w:p>
    <w:p>
      <w:pPr>
        <w:spacing w:after="60" w:before="0"/>
        <w:jc w:val="center"/>
      </w:pPr>
      <w:r>
        <w:rPr>
          <w:rFonts w:ascii="Arial" w:cs="Arial" w:eastAsia="Arial" w:hAnsi="Arial"/>
          <w:color w:val="5A5A5A"/>
          <w:sz w:val="28"/>
          <w:szCs w:val="28"/>
        </w:rPr>
        <w:t xml:space="preserve">Access Control  ·  Governed Tags  ·  ABAC Policies</w:t>
      </w:r>
    </w:p>
    <w:p>
      <w:pPr>
        <w:spacing w:after="600" w:before="0"/>
        <w:jc w:val="center"/>
      </w:pPr>
      <w:r>
        <w:rPr>
          <w:rFonts w:ascii="Arial" w:cs="Arial" w:eastAsia="Arial" w:hAnsi="Arial"/>
          <w:i/>
          <w:iCs/>
          <w:color w:val="888888"/>
          <w:sz w:val="20"/>
          <w:szCs w:val="20"/>
        </w:rPr>
        <w:t xml:space="preserve">Prepared by Paresh Ranjan Rout  |  Databricks Governance Exercise  |  Version 1.0</w:t>
      </w:r>
    </w:p>
    <w:p>
      <w:pPr>
        <w:pStyle w:val="Heading1"/>
        <w:spacing w:after="160" w:before="360"/>
      </w:pPr>
      <w:r>
        <w:rPr>
          <w:rFonts w:ascii="Arial" w:cs="Arial" w:eastAsia="Arial" w:hAnsi="Arial"/>
          <w:b/>
          <w:bCs/>
          <w:color w:val="2E5FA3"/>
          <w:sz w:val="32"/>
          <w:szCs w:val="32"/>
        </w:rPr>
        <w:t xml:space="preserve">1. Access Control in Databricks Unity Catalog</w:t>
      </w:r>
    </w:p>
    <w:p>
      <w:pPr>
        <w:spacing w:after="80" w:before="80"/>
      </w:pPr>
      <w:r>
        <w:rPr>
          <w:rFonts w:ascii="Arial" w:cs="Arial" w:eastAsia="Arial" w:hAnsi="Arial"/>
          <w:sz w:val="22"/>
          <w:szCs w:val="22"/>
        </w:rPr>
        <w:t xml:space="preserve">Access control is the system that decides who can see what data and who can do what operations inside Databricks. Unity Catalog provides a centralized access control system covering all catalogs, databases, tables, and columns across all workspaces.</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1.1  The three permission levels</w:t>
      </w:r>
    </w:p>
    <w:p>
      <w:pPr>
        <w:spacing w:after="80" w:before="80"/>
      </w:pPr>
      <w:r>
        <w:rPr>
          <w:rFonts w:ascii="Arial" w:cs="Arial" w:eastAsia="Arial" w:hAnsi="Arial"/>
          <w:sz w:val="22"/>
          <w:szCs w:val="22"/>
        </w:rPr>
        <w:t xml:space="preserve">Every user or group in your company gets three flags — ro, rw, and unmasked. Each is either 0 (off) or 1 (on):</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ro (read only) = 1 means the user can SELECT and read data from tables</w:t>
      </w:r>
    </w:p>
    <w:p>
      <w:pPr>
        <w:pStyle w:val="ListParagraph"/>
        <w:numPr>
          <w:ilvl w:val="0"/>
          <w:numId w:val="2"/>
        </w:numPr>
        <w:spacing w:after="60" w:before="60"/>
      </w:pPr>
      <w:r>
        <w:rPr>
          <w:rFonts w:ascii="Arial" w:cs="Arial" w:eastAsia="Arial" w:hAnsi="Arial"/>
          <w:sz w:val="22"/>
          <w:szCs w:val="22"/>
        </w:rPr>
        <w:t xml:space="preserve">rw (read write) = 1 means the user can also INSERT, UPDATE, DELETE, and CREATE</w:t>
      </w:r>
    </w:p>
    <w:p>
      <w:pPr>
        <w:pStyle w:val="ListParagraph"/>
        <w:numPr>
          <w:ilvl w:val="0"/>
          <w:numId w:val="2"/>
        </w:numPr>
        <w:spacing w:after="60" w:before="60"/>
      </w:pPr>
      <w:r>
        <w:rPr>
          <w:rFonts w:ascii="Arial" w:cs="Arial" w:eastAsia="Arial" w:hAnsi="Arial"/>
          <w:sz w:val="22"/>
          <w:szCs w:val="22"/>
        </w:rPr>
        <w:t xml:space="preserve">unmasked = 1 means the user can see sensitive columns like phone numbers, bank accounts, Aadhaar IDs in their real form</w:t>
      </w:r>
    </w:p>
    <w:p>
      <w:pPr>
        <w:pStyle w:val="ListParagraph"/>
        <w:numPr>
          <w:ilvl w:val="0"/>
          <w:numId w:val="2"/>
        </w:numPr>
        <w:spacing w:after="60" w:before="60"/>
      </w:pPr>
      <w:r>
        <w:rPr>
          <w:rFonts w:ascii="Arial" w:cs="Arial" w:eastAsia="Arial" w:hAnsi="Arial"/>
          <w:sz w:val="22"/>
          <w:szCs w:val="22"/>
        </w:rPr>
        <w:t xml:space="preserve">unmasked = 0 means sensitive columns appear as **** or NULL even if the user can query the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2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Permission flags</w:t>
            </w:r>
          </w:p>
        </w:tc>
        <w:tc>
          <w:tcPr>
            <w:tcW w:type="dxa" w:w="35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What the user can do</w:t>
            </w:r>
          </w:p>
        </w:tc>
        <w:tc>
          <w:tcPr>
            <w:tcW w:type="dxa" w:w="26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Typical role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ro = 1, rw = 0, unmasked =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Read only, sensitive columns masked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Analyst / Business User</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ro = 1, rw = 0, unmasked = 1</w:t>
            </w:r>
          </w:p>
        </w:tc>
        <w:tc>
          <w:tcPr>
            <w:tcW w:type="dxa" w:w="35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Read only, all columns visible including PII</w:t>
            </w:r>
          </w:p>
        </w:tc>
        <w:tc>
          <w:tcPr>
            <w:tcW w:type="dxa" w:w="2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Senior Analyst / Compliance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ro = 1, rw = 1, unmasked =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Full read-write, sensitive columns masked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Data Engineer</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ro = 1, rw = 1, unmasked = 1</w:t>
            </w:r>
          </w:p>
        </w:tc>
        <w:tc>
          <w:tcPr>
            <w:tcW w:type="dxa" w:w="35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Full read-write, all data visible</w:t>
            </w:r>
          </w:p>
        </w:tc>
        <w:tc>
          <w:tcPr>
            <w:tcW w:type="dxa" w:w="2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Admin / Data Owner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ro = 0, rw = 0, unmasked =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No access at 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External / Blocked user</w:t>
            </w:r>
          </w:p>
        </w:tc>
      </w:tr>
    </w:tbl>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This is exactly what Sid's access control table defines for each user and group in your company. Every row in that table maps to one of the combinations above.</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1.2  How permissions are applied in SQL</w:t>
      </w:r>
    </w:p>
    <w:p>
      <w:pPr>
        <w:spacing w:after="80" w:before="80"/>
      </w:pPr>
      <w:r>
        <w:rPr>
          <w:rFonts w:ascii="Arial" w:cs="Arial" w:eastAsia="Arial" w:hAnsi="Arial"/>
          <w:sz w:val="22"/>
          <w:szCs w:val="22"/>
        </w:rPr>
        <w:t xml:space="preserve">Permissions are granted using the GRANT command in Databricks SQL:</w:t>
      </w:r>
    </w:p>
    <w:p>
      <w:pPr>
        <w:spacing w:after="80" w:before="80"/>
      </w:pPr>
      <w:r>
        <w:t xml:space="preserve"/>
      </w:r>
    </w:p>
    <w:p>
      <w:pPr>
        <w:spacing w:after="80" w:before="80"/>
      </w:pPr>
      <w:r>
        <w:rPr>
          <w:rFonts w:ascii="Courier New" w:cs="Courier New" w:eastAsia="Courier New" w:hAnsi="Courier New"/>
          <w:color w:val="2E5FA3"/>
          <w:sz w:val="20"/>
          <w:szCs w:val="20"/>
        </w:rPr>
        <w:t xml:space="preserve">GRANT USE CATALOG ON CATALOG bronze_vendor TO analyst_group;</w:t>
      </w:r>
    </w:p>
    <w:p>
      <w:pPr>
        <w:spacing w:after="80" w:before="80"/>
      </w:pPr>
      <w:r>
        <w:rPr>
          <w:rFonts w:ascii="Courier New" w:cs="Courier New" w:eastAsia="Courier New" w:hAnsi="Courier New"/>
          <w:color w:val="2E5FA3"/>
          <w:sz w:val="20"/>
          <w:szCs w:val="20"/>
        </w:rPr>
        <w:t xml:space="preserve">GRANT SELECT ON CATALOG bronze_vendor TO analyst_group;</w:t>
      </w:r>
    </w:p>
    <w:p>
      <w:pPr>
        <w:spacing w:after="80" w:before="80"/>
      </w:pPr>
      <w:r>
        <w:rPr>
          <w:rFonts w:ascii="Courier New" w:cs="Courier New" w:eastAsia="Courier New" w:hAnsi="Courier New"/>
          <w:color w:val="2E5FA3"/>
          <w:sz w:val="20"/>
          <w:szCs w:val="20"/>
        </w:rPr>
        <w:t xml:space="preserve">GRANT MODIFY ON CATALOG bronze_vendor TO engineer_group;</w:t>
      </w:r>
    </w:p>
    <w:p>
      <w:pPr>
        <w:spacing w:after="80" w:before="80"/>
      </w:pPr>
      <w:r>
        <w:rPr>
          <w:rFonts w:ascii="Courier New" w:cs="Courier New" w:eastAsia="Courier New" w:hAnsi="Courier New"/>
          <w:color w:val="C0392B"/>
          <w:sz w:val="20"/>
          <w:szCs w:val="20"/>
        </w:rPr>
        <w:t xml:space="preserve">REVOKE SELECT ON CATALOG bronze_vendor FROM analyst_group;</w:t>
      </w:r>
    </w:p>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GRANT adds a permission. REVOKE removes it. Always grant at the catalog level — all databases and tables inside inherit the permission automatically.</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1.3  Where access control is set in the UI</w:t>
      </w:r>
    </w:p>
    <w:p>
      <w:pPr>
        <w:pStyle w:val="ListParagraph"/>
        <w:numPr>
          <w:ilvl w:val="0"/>
          <w:numId w:val="2"/>
        </w:numPr>
        <w:spacing w:after="60" w:before="60"/>
      </w:pPr>
      <w:r>
        <w:rPr>
          <w:rFonts w:ascii="Arial" w:cs="Arial" w:eastAsia="Arial" w:hAnsi="Arial"/>
          <w:sz w:val="22"/>
          <w:szCs w:val="22"/>
        </w:rPr>
        <w:t xml:space="preserve">Go to Catalog in the left sidebar</w:t>
      </w:r>
    </w:p>
    <w:p>
      <w:pPr>
        <w:pStyle w:val="ListParagraph"/>
        <w:numPr>
          <w:ilvl w:val="0"/>
          <w:numId w:val="2"/>
        </w:numPr>
        <w:spacing w:after="60" w:before="60"/>
      </w:pPr>
      <w:r>
        <w:rPr>
          <w:rFonts w:ascii="Arial" w:cs="Arial" w:eastAsia="Arial" w:hAnsi="Arial"/>
          <w:sz w:val="22"/>
          <w:szCs w:val="22"/>
        </w:rPr>
        <w:t xml:space="preserve">Click on any catalog, database, or table</w:t>
      </w:r>
    </w:p>
    <w:p>
      <w:pPr>
        <w:pStyle w:val="ListParagraph"/>
        <w:numPr>
          <w:ilvl w:val="0"/>
          <w:numId w:val="2"/>
        </w:numPr>
        <w:spacing w:after="60" w:before="60"/>
      </w:pPr>
      <w:r>
        <w:rPr>
          <w:rFonts w:ascii="Arial" w:cs="Arial" w:eastAsia="Arial" w:hAnsi="Arial"/>
          <w:sz w:val="22"/>
          <w:szCs w:val="22"/>
        </w:rPr>
        <w:t xml:space="preserve">Click the Permissions tab</w:t>
      </w:r>
    </w:p>
    <w:p>
      <w:pPr>
        <w:pStyle w:val="ListParagraph"/>
        <w:numPr>
          <w:ilvl w:val="0"/>
          <w:numId w:val="2"/>
        </w:numPr>
        <w:spacing w:after="60" w:before="60"/>
      </w:pPr>
      <w:r>
        <w:rPr>
          <w:rFonts w:ascii="Arial" w:cs="Arial" w:eastAsia="Arial" w:hAnsi="Arial"/>
          <w:sz w:val="22"/>
          <w:szCs w:val="22"/>
        </w:rPr>
        <w:t xml:space="preserve">Click Grant — select principal (user or group) and privilege preset</w:t>
      </w:r>
    </w:p>
    <w:p>
      <w:pPr>
        <w:pStyle w:val="ListParagraph"/>
        <w:numPr>
          <w:ilvl w:val="0"/>
          <w:numId w:val="2"/>
        </w:numPr>
        <w:spacing w:after="60" w:before="60"/>
      </w:pPr>
      <w:r>
        <w:rPr>
          <w:rFonts w:ascii="Arial" w:cs="Arial" w:eastAsia="Arial" w:hAnsi="Arial"/>
          <w:sz w:val="22"/>
          <w:szCs w:val="22"/>
        </w:rPr>
        <w:t xml:space="preserve">Click Grant to save</w:t>
      </w:r>
    </w:p>
    <w:p>
      <w:pPr>
        <w:spacing w:after="80" w:before="80"/>
      </w:pPr>
      <w:r>
        <w:t xml:space="preserve"/>
      </w:r>
    </w:p>
    <w:p>
      <w:pPr>
        <w:pBdr>
          <w:left w:val="single" w:color="C0392B" w:sz="5" w:space="10"/>
        </w:pBdr>
        <w:spacing w:after="120" w:before="120"/>
        <w:ind w:left="400"/>
      </w:pPr>
      <w:r>
        <w:rPr>
          <w:rFonts w:ascii="Arial" w:cs="Arial" w:eastAsia="Arial" w:hAnsi="Arial"/>
          <w:i/>
          <w:iCs/>
          <w:color w:val="C0392B"/>
          <w:sz w:val="22"/>
          <w:szCs w:val="22"/>
        </w:rPr>
        <w:t xml:space="preserve">Never grant ALL PRIVILEGES to regular users in production. Always use the minimum permission needed — this is the principle of least privilege.</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2. Tags in Databricks — Two Types</w:t>
      </w:r>
    </w:p>
    <w:p>
      <w:pPr>
        <w:spacing w:after="80" w:before="80"/>
      </w:pPr>
      <w:r>
        <w:rPr>
          <w:rFonts w:ascii="Arial" w:cs="Arial" w:eastAsia="Arial" w:hAnsi="Arial"/>
          <w:sz w:val="22"/>
          <w:szCs w:val="22"/>
        </w:rPr>
        <w:t xml:space="preserve">Tags are labels you attach to catalogs, databases, tables, or columns to describe what they contain. There are two completely different types of tags in Databricks and it is important to understand the difference.</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2.1  Custom Tags — simple labels</w:t>
      </w:r>
    </w:p>
    <w:p>
      <w:pPr>
        <w:spacing w:after="80" w:before="80"/>
      </w:pPr>
      <w:r>
        <w:rPr>
          <w:rFonts w:ascii="Arial" w:cs="Arial" w:eastAsia="Arial" w:hAnsi="Arial"/>
          <w:sz w:val="22"/>
          <w:szCs w:val="22"/>
        </w:rPr>
        <w:t xml:space="preserve">Custom tags are free-form key-value pairs that anyone can create and apply. They do not trigger any security policies. They are purely for organization, discovery, and documentation.</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Key = team, Value = data_engineering</w:t>
      </w:r>
    </w:p>
    <w:p>
      <w:pPr>
        <w:pStyle w:val="ListParagraph"/>
        <w:numPr>
          <w:ilvl w:val="0"/>
          <w:numId w:val="2"/>
        </w:numPr>
        <w:spacing w:after="60" w:before="60"/>
      </w:pPr>
      <w:r>
        <w:rPr>
          <w:rFonts w:ascii="Arial" w:cs="Arial" w:eastAsia="Arial" w:hAnsi="Arial"/>
          <w:sz w:val="22"/>
          <w:szCs w:val="22"/>
        </w:rPr>
        <w:t xml:space="preserve">Key = domain, Value = retail</w:t>
      </w:r>
    </w:p>
    <w:p>
      <w:pPr>
        <w:pStyle w:val="ListParagraph"/>
        <w:numPr>
          <w:ilvl w:val="0"/>
          <w:numId w:val="2"/>
        </w:numPr>
        <w:spacing w:after="60" w:before="60"/>
      </w:pPr>
      <w:r>
        <w:rPr>
          <w:rFonts w:ascii="Arial" w:cs="Arial" w:eastAsia="Arial" w:hAnsi="Arial"/>
          <w:sz w:val="22"/>
          <w:szCs w:val="22"/>
        </w:rPr>
        <w:t xml:space="preserve">Key = layer, Value = bronze</w:t>
      </w:r>
    </w:p>
    <w:p>
      <w:pPr>
        <w:pStyle w:val="ListParagraph"/>
        <w:numPr>
          <w:ilvl w:val="0"/>
          <w:numId w:val="2"/>
        </w:numPr>
        <w:spacing w:after="60" w:before="60"/>
      </w:pPr>
      <w:r>
        <w:rPr>
          <w:rFonts w:ascii="Arial" w:cs="Arial" w:eastAsia="Arial" w:hAnsi="Arial"/>
          <w:sz w:val="22"/>
          <w:szCs w:val="22"/>
        </w:rPr>
        <w:t xml:space="preserve">Key = owner, Value = paresh</w:t>
      </w:r>
    </w:p>
    <w:p>
      <w:pPr>
        <w:pStyle w:val="ListParagraph"/>
        <w:numPr>
          <w:ilvl w:val="0"/>
          <w:numId w:val="2"/>
        </w:numPr>
        <w:spacing w:after="60" w:before="60"/>
      </w:pPr>
      <w:r>
        <w:rPr>
          <w:rFonts w:ascii="Arial" w:cs="Arial" w:eastAsia="Arial" w:hAnsi="Arial"/>
          <w:sz w:val="22"/>
          <w:szCs w:val="22"/>
        </w:rPr>
        <w:t xml:space="preserve">Key = environment, Value = production</w:t>
      </w:r>
    </w:p>
    <w:p>
      <w:pPr>
        <w:spacing w:after="80" w:before="80"/>
      </w:pPr>
      <w:r>
        <w:t xml:space="preserve"/>
      </w:r>
    </w:p>
    <w:p>
      <w:pPr>
        <w:spacing w:after="80" w:before="80"/>
      </w:pPr>
      <w:r>
        <w:rPr>
          <w:rFonts w:ascii="Arial" w:cs="Arial" w:eastAsia="Arial" w:hAnsi="Arial"/>
          <w:sz w:val="22"/>
          <w:szCs w:val="22"/>
        </w:rPr>
        <w:t xml:space="preserve">Custom tags are applied directly on any object in the Catalog UI under the Tags tab. No admin permission needed. No security impact. Just labeling.</w:t>
      </w:r>
    </w:p>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Use custom tags generously on all your catalogs. Example: tag bronze_vendor with layer=bronze and team=data_engineering. This makes it easy to filter and find catalogs later.</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2.2  Governed Tags — security classification</w:t>
      </w:r>
    </w:p>
    <w:p>
      <w:pPr>
        <w:spacing w:after="80" w:before="80"/>
      </w:pPr>
      <w:r>
        <w:rPr>
          <w:rFonts w:ascii="Arial" w:cs="Arial" w:eastAsia="Arial" w:hAnsi="Arial"/>
          <w:sz w:val="22"/>
          <w:szCs w:val="22"/>
        </w:rPr>
        <w:t xml:space="preserve">Governed tags are a completely different concept. They are used to classify sensitive data and are created by the Metastore Admin. When you apply a governed tag to a column, it triggers security policies like data masking automatically.</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Only Metastore Admins can create governed tags</w:t>
      </w:r>
    </w:p>
    <w:p>
      <w:pPr>
        <w:pStyle w:val="ListParagraph"/>
        <w:numPr>
          <w:ilvl w:val="0"/>
          <w:numId w:val="2"/>
        </w:numPr>
        <w:spacing w:after="60" w:before="60"/>
      </w:pPr>
      <w:r>
        <w:rPr>
          <w:rFonts w:ascii="Arial" w:cs="Arial" w:eastAsia="Arial" w:hAnsi="Arial"/>
          <w:sz w:val="22"/>
          <w:szCs w:val="22"/>
        </w:rPr>
        <w:t xml:space="preserve">Anyone with appropriate access can apply existing governed tags</w:t>
      </w:r>
    </w:p>
    <w:p>
      <w:pPr>
        <w:pStyle w:val="ListParagraph"/>
        <w:numPr>
          <w:ilvl w:val="0"/>
          <w:numId w:val="2"/>
        </w:numPr>
        <w:spacing w:after="60" w:before="60"/>
      </w:pPr>
      <w:r>
        <w:rPr>
          <w:rFonts w:ascii="Arial" w:cs="Arial" w:eastAsia="Arial" w:hAnsi="Arial"/>
          <w:sz w:val="22"/>
          <w:szCs w:val="22"/>
        </w:rPr>
        <w:t xml:space="preserve">Governed tags follow strict policies enforced by the admin</w:t>
      </w:r>
    </w:p>
    <w:p>
      <w:pPr>
        <w:pStyle w:val="ListParagraph"/>
        <w:numPr>
          <w:ilvl w:val="0"/>
          <w:numId w:val="2"/>
        </w:numPr>
        <w:spacing w:after="60" w:before="60"/>
      </w:pPr>
      <w:r>
        <w:rPr>
          <w:rFonts w:ascii="Arial" w:cs="Arial" w:eastAsia="Arial" w:hAnsi="Arial"/>
          <w:sz w:val="22"/>
          <w:szCs w:val="22"/>
        </w:rPr>
        <w:t xml:space="preserve">Governed tags directly drive ABAC masking policies</w:t>
      </w:r>
    </w:p>
    <w:p>
      <w:pPr>
        <w:pStyle w:val="ListParagraph"/>
        <w:numPr>
          <w:ilvl w:val="0"/>
          <w:numId w:val="2"/>
        </w:numPr>
        <w:spacing w:after="60" w:before="60"/>
      </w:pPr>
      <w:r>
        <w:rPr>
          <w:rFonts w:ascii="Arial" w:cs="Arial" w:eastAsia="Arial" w:hAnsi="Arial"/>
          <w:sz w:val="22"/>
          <w:szCs w:val="22"/>
        </w:rPr>
        <w:t xml:space="preserve">There are two sub-types: System tags (built-in by Databricks) and User-Defined tags (created by your admin)</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2.3  All System governed tags — pre-loaded by Databricks</w:t>
      </w:r>
    </w:p>
    <w:p>
      <w:pPr>
        <w:spacing w:after="80" w:before="80"/>
      </w:pPr>
      <w:r>
        <w:rPr>
          <w:rFonts w:ascii="Arial" w:cs="Arial" w:eastAsia="Arial" w:hAnsi="Arial"/>
          <w:sz w:val="22"/>
          <w:szCs w:val="22"/>
        </w:rPr>
        <w:t xml:space="preserve">These tags come pre-installed with every Databricks Unity Catalog account. Your company admin did not create them — they are global defaults: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160"/>
        <w:gridCol w:w="1800"/>
      </w:tblGrid>
      <w:tr>
        <w:tc>
          <w:tcPr>
            <w:tcW w:type="dxa" w:w="24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Tag key</w:t>
            </w:r>
          </w:p>
        </w:tc>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What it marks</w:t>
            </w:r>
          </w:p>
        </w:tc>
        <w:tc>
          <w:tcPr>
            <w:tcW w:type="dxa" w:w="21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Regulation</w:t>
            </w:r>
          </w:p>
        </w:tc>
        <w:tc>
          <w:tcPr>
            <w:tcW w:type="dxa" w:w="18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Region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class.age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Age of individuals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GDPR, CCPA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Global</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class.bank_number</w:t>
            </w:r>
          </w:p>
        </w:tc>
        <w:tc>
          <w:tcPr>
            <w:tcW w:type="dxa" w:w="3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Bank account numbers</w:t>
            </w:r>
          </w:p>
        </w:tc>
        <w:tc>
          <w:tcPr>
            <w:tcW w:type="dxa" w:w="21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PCI-DSS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Global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class.credit_card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Credit card 12-19 digits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PCI-DSS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Global</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class.date_of_birth</w:t>
            </w:r>
          </w:p>
        </w:tc>
        <w:tc>
          <w:tcPr>
            <w:tcW w:type="dxa" w:w="3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Birth dates of individuals</w:t>
            </w:r>
          </w:p>
        </w:tc>
        <w:tc>
          <w:tcPr>
            <w:tcW w:type="dxa" w:w="21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GDPR, CCPA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Global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class.driver_license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Driver license numbers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GDPR, CCPA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Global</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class.email_address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Email addresses RFC-822</w:t>
            </w:r>
          </w:p>
        </w:tc>
        <w:tc>
          <w:tcPr>
            <w:tcW w:type="dxa" w:w="21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GDPR, CAN-SPAM</w:t>
            </w:r>
          </w:p>
        </w:tc>
        <w:tc>
          <w:tcPr>
            <w:tcW w:type="dxa" w:w="1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Global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class.au_medicare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Australian Medicare number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Australian Privacy 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Australia</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class.au_tfn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Australian Tax File Number</w:t>
            </w:r>
          </w:p>
        </w:tc>
        <w:tc>
          <w:tcPr>
            <w:tcW w:type="dxa" w:w="21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Australian Privacy Act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Australia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class.br_cnpj</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Brazilian company registration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LGPD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Brazil</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class.br_cpf</w:t>
            </w:r>
          </w:p>
        </w:tc>
        <w:tc>
          <w:tcPr>
            <w:tcW w:type="dxa" w:w="3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Brazilian individual taxpayer ID</w:t>
            </w:r>
          </w:p>
        </w:tc>
        <w:tc>
          <w:tcPr>
            <w:tcW w:type="dxa" w:w="21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LGPD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Brazil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class.br_rg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Brazilian state identity number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LGPD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Brazil</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class.de_id_card</w:t>
            </w:r>
          </w:p>
        </w:tc>
        <w:tc>
          <w:tcPr>
            <w:tcW w:type="dxa" w:w="3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German National ID card</w:t>
            </w:r>
          </w:p>
        </w:tc>
        <w:tc>
          <w:tcPr>
            <w:tcW w:type="dxa" w:w="21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GDPR</w:t>
            </w:r>
          </w:p>
        </w:tc>
        <w:tc>
          <w:tcPr>
            <w:tcW w:type="dxa" w:w="1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Germany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class.de_passport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German passport number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GDPR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Germany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class.de_svnr</w:t>
            </w:r>
          </w:p>
        </w:tc>
        <w:tc>
          <w:tcPr>
            <w:tcW w:type="dxa" w:w="3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German Social Security Number</w:t>
            </w:r>
          </w:p>
        </w:tc>
        <w:tc>
          <w:tcPr>
            <w:tcW w:type="dxa" w:w="21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GDPR</w:t>
            </w:r>
          </w:p>
        </w:tc>
        <w:tc>
          <w:tcPr>
            <w:tcW w:type="dxa" w:w="1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Germany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class.de_tax_id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German Tax Identification Number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GDPR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Germany</w:t>
            </w:r>
          </w:p>
        </w:tc>
      </w:tr>
    </w:tbl>
    <w:p>
      <w:pPr>
        <w:spacing w:after="80" w:before="80"/>
      </w:pPr>
      <w:r>
        <w:t xml:space="preserve"/>
      </w:r>
    </w:p>
    <w:p>
      <w:pPr>
        <w:pStyle w:val="Heading2"/>
        <w:spacing w:after="120" w:before="240"/>
      </w:pPr>
      <w:r>
        <w:rPr>
          <w:rFonts w:ascii="Arial" w:cs="Arial" w:eastAsia="Arial" w:hAnsi="Arial"/>
          <w:b/>
          <w:bCs/>
          <w:color w:val="1F3F6E"/>
          <w:sz w:val="26"/>
          <w:szCs w:val="26"/>
        </w:rPr>
        <w:t xml:space="preserve">2.4  User-Defined governed tags — created in your practice account</w:t>
      </w:r>
    </w:p>
    <w:p>
      <w:pPr>
        <w:spacing w:after="80" w:before="80"/>
      </w:pPr>
      <w:r>
        <w:rPr>
          <w:rFonts w:ascii="Arial" w:cs="Arial" w:eastAsia="Arial" w:hAnsi="Arial"/>
          <w:sz w:val="22"/>
          <w:szCs w:val="22"/>
        </w:rPr>
        <w:t xml:space="preserve">These are the 5 governed tags we created in your personal Databricks account to fill the gaps not covered by system tags: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560"/>
        <w:gridCol w:w="1800"/>
      </w:tblGrid>
      <w:tr>
        <w:tc>
          <w:tcPr>
            <w:tcW w:type="dxa" w:w="24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Tag key</w:t>
            </w:r>
          </w:p>
        </w:tc>
        <w:tc>
          <w:tcPr>
            <w:tcW w:type="dxa" w:w="26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What it marks</w:t>
            </w:r>
          </w:p>
        </w:tc>
        <w:tc>
          <w:tcPr>
            <w:tcW w:type="dxa" w:w="25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Allowed values</w:t>
            </w:r>
          </w:p>
        </w:tc>
        <w:tc>
          <w:tcPr>
            <w:tcW w:type="dxa" w:w="18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class_salary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Employee salary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confidential, restricted, internal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HR systems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class_phone_number</w:t>
            </w:r>
          </w:p>
        </w:tc>
        <w:tc>
          <w:tcPr>
            <w:tcW w:type="dxa" w:w="2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Mobile and landline numbers</w:t>
            </w:r>
          </w:p>
        </w:tc>
        <w:tc>
          <w:tcPr>
            <w:tcW w:type="dxa" w:w="25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None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CRM, retail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class_in_aadhaar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Indian Aadhaar 12-digit 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India-specific data</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class_ip_address</w:t>
            </w:r>
          </w:p>
        </w:tc>
        <w:tc>
          <w:tcPr>
            <w:tcW w:type="dxa" w:w="2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User IP addresses</w:t>
            </w:r>
          </w:p>
        </w:tc>
        <w:tc>
          <w:tcPr>
            <w:tcW w:type="dxa" w:w="25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None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Web logs, clickstream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class_medical_record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Patient health records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hipaa_protected, general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Healthcare data</w:t>
            </w:r>
          </w:p>
        </w:tc>
      </w:tr>
    </w:tbl>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class_in_aadhaar is especially important for datapoem.com since your company works with Indian market data. Aadhaar is India's national ID and is highly regulated under the Aadhaar Act 2016.</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2.5  System tags vs User-Defined tags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Attribute</w:t>
            </w:r>
          </w:p>
        </w:tc>
        <w:tc>
          <w:tcPr>
            <w:tcW w:type="dxa" w:w="312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System tags</w:t>
            </w:r>
          </w:p>
        </w:tc>
        <w:tc>
          <w:tcPr>
            <w:tcW w:type="dxa" w:w="312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User-Defined tags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Who creates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Databricks automatically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Your Metastore Admin</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Can be deleted</w:t>
            </w:r>
          </w:p>
        </w:tc>
        <w:tc>
          <w:tcPr>
            <w:tcW w:type="dxa" w:w="312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No — permanent</w:t>
            </w:r>
          </w:p>
        </w:tc>
        <w:tc>
          <w:tcPr>
            <w:tcW w:type="dxa" w:w="312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Yes — admin can delete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Triggers masking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Yes — when policy attached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Yes — when policy attached</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Allowed values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None — free text</w:t>
            </w:r>
          </w:p>
        </w:tc>
        <w:tc>
          <w:tcPr>
            <w:tcW w:type="dxa" w:w="312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Admin defined list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Examples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class.bank_number, class.age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class_salary, class_in_aadhaar</w:t>
            </w:r>
          </w:p>
        </w:tc>
      </w:tr>
    </w:tbl>
    <w:p>
      <w:pPr>
        <w:spacing w:after="80" w:before="80"/>
      </w:pPr>
      <w:r>
        <w:t xml:space="preserve"/>
      </w:r>
    </w:p>
    <w:p>
      <w:pPr>
        <w:pStyle w:val="Heading1"/>
        <w:spacing w:after="160" w:before="360"/>
      </w:pPr>
      <w:r>
        <w:rPr>
          <w:rFonts w:ascii="Arial" w:cs="Arial" w:eastAsia="Arial" w:hAnsi="Arial"/>
          <w:b/>
          <w:bCs/>
          <w:color w:val="2E5FA3"/>
          <w:sz w:val="32"/>
          <w:szCs w:val="32"/>
        </w:rPr>
        <w:t xml:space="preserve">3. ABAC Policy — Security Enforcement</w:t>
      </w:r>
    </w:p>
    <w:p>
      <w:pPr>
        <w:spacing w:after="80" w:before="80"/>
      </w:pPr>
      <w:r>
        <w:rPr>
          <w:rFonts w:ascii="Arial" w:cs="Arial" w:eastAsia="Arial" w:hAnsi="Arial"/>
          <w:sz w:val="22"/>
          <w:szCs w:val="22"/>
        </w:rPr>
        <w:t xml:space="preserve">ABAC stands for Attribute Based Access Control. It is the engine that converts governed tags into real security enforcement. A tag alone does nothing. An ABAC policy is what makes the tag enforce masking or row-level restrictions automatically.</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3.1  How ABAC works — the simple flow</w:t>
      </w:r>
    </w:p>
    <w:p>
      <w:pPr>
        <w:pStyle w:val="ListParagraph"/>
        <w:numPr>
          <w:ilvl w:val="0"/>
          <w:numId w:val="2"/>
        </w:numPr>
        <w:spacing w:after="60" w:before="60"/>
      </w:pPr>
      <w:r>
        <w:rPr>
          <w:rFonts w:ascii="Arial" w:cs="Arial" w:eastAsia="Arial" w:hAnsi="Arial"/>
          <w:sz w:val="22"/>
          <w:szCs w:val="22"/>
        </w:rPr>
        <w:t xml:space="preserve">Step 1 — A column in a table is tagged with class.bank_number</w:t>
      </w:r>
    </w:p>
    <w:p>
      <w:pPr>
        <w:pStyle w:val="ListParagraph"/>
        <w:numPr>
          <w:ilvl w:val="0"/>
          <w:numId w:val="2"/>
        </w:numPr>
        <w:spacing w:after="60" w:before="60"/>
      </w:pPr>
      <w:r>
        <w:rPr>
          <w:rFonts w:ascii="Arial" w:cs="Arial" w:eastAsia="Arial" w:hAnsi="Arial"/>
          <w:sz w:val="22"/>
          <w:szCs w:val="22"/>
        </w:rPr>
        <w:t xml:space="preserve">Step 2 — An ABAC policy exists that says: when class.bank_number tag is present, mask the column for analyst_group</w:t>
      </w:r>
    </w:p>
    <w:p>
      <w:pPr>
        <w:pStyle w:val="ListParagraph"/>
        <w:numPr>
          <w:ilvl w:val="0"/>
          <w:numId w:val="2"/>
        </w:numPr>
        <w:spacing w:after="60" w:before="60"/>
      </w:pPr>
      <w:r>
        <w:rPr>
          <w:rFonts w:ascii="Arial" w:cs="Arial" w:eastAsia="Arial" w:hAnsi="Arial"/>
          <w:sz w:val="22"/>
          <w:szCs w:val="22"/>
        </w:rPr>
        <w:t xml:space="preserve">Step 3 — An analyst queries that table and runs SELECT * FROM table</w:t>
      </w:r>
    </w:p>
    <w:p>
      <w:pPr>
        <w:pStyle w:val="ListParagraph"/>
        <w:numPr>
          <w:ilvl w:val="0"/>
          <w:numId w:val="2"/>
        </w:numPr>
        <w:spacing w:after="60" w:before="60"/>
      </w:pPr>
      <w:r>
        <w:rPr>
          <w:rFonts w:ascii="Arial" w:cs="Arial" w:eastAsia="Arial" w:hAnsi="Arial"/>
          <w:sz w:val="22"/>
          <w:szCs w:val="22"/>
        </w:rPr>
        <w:t xml:space="preserve">Step 4 — Databricks intercepts the query, detects the tag and the policy</w:t>
      </w:r>
    </w:p>
    <w:p>
      <w:pPr>
        <w:pStyle w:val="ListParagraph"/>
        <w:numPr>
          <w:ilvl w:val="0"/>
          <w:numId w:val="2"/>
        </w:numPr>
        <w:spacing w:after="60" w:before="60"/>
      </w:pPr>
      <w:r>
        <w:rPr>
          <w:rFonts w:ascii="Arial" w:cs="Arial" w:eastAsia="Arial" w:hAnsi="Arial"/>
          <w:sz w:val="22"/>
          <w:szCs w:val="22"/>
        </w:rPr>
        <w:t xml:space="preserve">Step 5 — The analyst sees **** in the bank_number column instead of the real value</w:t>
      </w:r>
    </w:p>
    <w:p>
      <w:pPr>
        <w:pStyle w:val="ListParagraph"/>
        <w:numPr>
          <w:ilvl w:val="0"/>
          <w:numId w:val="2"/>
        </w:numPr>
        <w:spacing w:after="60" w:before="60"/>
      </w:pPr>
      <w:r>
        <w:rPr>
          <w:rFonts w:ascii="Arial" w:cs="Arial" w:eastAsia="Arial" w:hAnsi="Arial"/>
          <w:sz w:val="22"/>
          <w:szCs w:val="22"/>
        </w:rPr>
        <w:t xml:space="preserve">Step 6 — A finance admin runs the same query and sees the real value because they are in the Except for list</w:t>
      </w:r>
    </w:p>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The analyst never knows the real value exists. The masking happens at the engine level — before the data reaches the user. No application code needed.</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3.2  Components of an ABAC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ABAC Component</w:t>
            </w:r>
          </w:p>
        </w:tc>
        <w:tc>
          <w:tcPr>
            <w:tcW w:type="dxa" w:w="41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c>
          <w:tcPr>
            <w:tcW w:type="dxa" w:w="28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Tag condition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 table is tagged with class.bank_number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Apply masking to bank columns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Principal</w:t>
            </w:r>
          </w:p>
        </w:tc>
        <w:tc>
          <w:tcPr>
            <w:tcW w:type="dxa" w:w="41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Group: analysts</w:t>
            </w:r>
          </w:p>
        </w:tc>
        <w:tc>
          <w:tcPr>
            <w:tcW w:type="dxa" w:w="2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These users are subject to the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Exception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Group: finance_admin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These users bypass the policy — see real data</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Scope</w:t>
            </w:r>
          </w:p>
        </w:tc>
        <w:tc>
          <w:tcPr>
            <w:tcW w:type="dxa" w:w="41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Catalog: bronze_vendor, All schemas</w:t>
            </w:r>
          </w:p>
        </w:tc>
        <w:tc>
          <w:tcPr>
            <w:tcW w:type="dxa" w:w="2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Policy applies to all tables in this catalog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Action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Mask column 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Show **** instead of real bank number</w:t>
            </w:r>
          </w:p>
        </w:tc>
      </w:tr>
    </w:tbl>
    <w:p>
      <w:pPr>
        <w:spacing w:after="80" w:before="80"/>
      </w:pPr>
      <w:r>
        <w:t xml:space="preserve"/>
      </w:r>
    </w:p>
    <w:p>
      <w:pPr>
        <w:pStyle w:val="Heading2"/>
        <w:spacing w:after="120" w:before="240"/>
      </w:pPr>
      <w:r>
        <w:rPr>
          <w:rFonts w:ascii="Arial" w:cs="Arial" w:eastAsia="Arial" w:hAnsi="Arial"/>
          <w:b/>
          <w:bCs/>
          <w:color w:val="1F3F6E"/>
          <w:sz w:val="26"/>
          <w:szCs w:val="26"/>
        </w:rPr>
        <w:t xml:space="preserve">3.3  ABAC Policy SQL code</w:t>
      </w:r>
    </w:p>
    <w:p>
      <w:pPr>
        <w:spacing w:after="80" w:before="80"/>
      </w:pPr>
      <w:r>
        <w:rPr>
          <w:rFonts w:ascii="Arial" w:cs="Arial" w:eastAsia="Arial" w:hAnsi="Arial"/>
          <w:sz w:val="22"/>
          <w:szCs w:val="22"/>
        </w:rPr>
        <w:t xml:space="preserve">When you create a policy in the UI, Databricks generates this SQL behind the scenes:</w:t>
      </w:r>
    </w:p>
    <w:p>
      <w:pPr>
        <w:spacing w:after="80" w:before="80"/>
      </w:pPr>
      <w:r>
        <w:t xml:space="preserve"/>
      </w:r>
    </w:p>
    <w:p>
      <w:pPr>
        <w:spacing w:after="80" w:before="80"/>
      </w:pPr>
      <w:r>
        <w:rPr>
          <w:rFonts w:ascii="Courier New" w:cs="Courier New" w:eastAsia="Courier New" w:hAnsi="Courier New"/>
          <w:color w:val="2E5FA3"/>
          <w:sz w:val="20"/>
          <w:szCs w:val="20"/>
        </w:rPr>
        <w:t xml:space="preserve">CREATE OR REPLACE POLICY mask_bank_data</w:t>
      </w:r>
    </w:p>
    <w:p>
      <w:pPr>
        <w:spacing w:after="80" w:before="80"/>
      </w:pPr>
      <w:r>
        <w:rPr>
          <w:rFonts w:ascii="Courier New" w:cs="Courier New" w:eastAsia="Courier New" w:hAnsi="Courier New"/>
          <w:color w:val="2E5FA3"/>
          <w:sz w:val="20"/>
          <w:szCs w:val="20"/>
        </w:rPr>
        <w:t xml:space="preserve">ON CATALOG bronze_vendor</w:t>
      </w:r>
    </w:p>
    <w:p>
      <w:pPr>
        <w:spacing w:after="80" w:before="80"/>
      </w:pPr>
      <w:r>
        <w:rPr>
          <w:rFonts w:ascii="Courier New" w:cs="Courier New" w:eastAsia="Courier New" w:hAnsi="Courier New"/>
          <w:color w:val="2E5FA3"/>
          <w:sz w:val="20"/>
          <w:szCs w:val="20"/>
        </w:rPr>
        <w:t xml:space="preserve">APPLIED TO analyst_group</w:t>
      </w:r>
    </w:p>
    <w:p>
      <w:pPr>
        <w:spacing w:after="80" w:before="80"/>
      </w:pPr>
      <w:r>
        <w:rPr>
          <w:rFonts w:ascii="Courier New" w:cs="Courier New" w:eastAsia="Courier New" w:hAnsi="Courier New"/>
          <w:color w:val="2E5FA3"/>
          <w:sz w:val="20"/>
          <w:szCs w:val="20"/>
        </w:rPr>
        <w:t xml:space="preserve">EXCEPT FOR finance_admin_group</w:t>
      </w:r>
    </w:p>
    <w:p>
      <w:pPr>
        <w:spacing w:after="80" w:before="80"/>
      </w:pPr>
      <w:r>
        <w:rPr>
          <w:rFonts w:ascii="Courier New" w:cs="Courier New" w:eastAsia="Courier New" w:hAnsi="Courier New"/>
          <w:color w:val="2E5FA3"/>
          <w:sz w:val="20"/>
          <w:szCs w:val="20"/>
        </w:rPr>
        <w:t xml:space="preserve">WHERE tag = 'class.bank_number'</w:t>
      </w:r>
    </w:p>
    <w:p>
      <w:pPr>
        <w:spacing w:after="80" w:before="80"/>
      </w:pPr>
      <w:r>
        <w:rPr>
          <w:rFonts w:ascii="Courier New" w:cs="Courier New" w:eastAsia="Courier New" w:hAnsi="Courier New"/>
          <w:color w:val="2E5FA3"/>
          <w:sz w:val="20"/>
          <w:szCs w:val="20"/>
        </w:rPr>
        <w:t xml:space="preserve">MASK COLUMN WITH '****';</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3.4  Advantages of ABAC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Advantage</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Centralized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One policy covers all tables in a catalog. No need to set permissions per table.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Automatic inheritance</w:t>
            </w:r>
          </w:p>
        </w:tc>
        <w:tc>
          <w:tcPr>
            <w:tcW w:type="dxa" w:w="63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New tables added to a catalog automatically inherit existing policies.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Audit ready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Every access is logged. Every policy is documented. Compliance teams love this.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Role separation</w:t>
            </w:r>
          </w:p>
        </w:tc>
        <w:tc>
          <w:tcPr>
            <w:tcW w:type="dxa" w:w="63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Engineers can build pipelines without ever seeing sensitive customer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Zero code masking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No need to write masking logic in notebooks. The platform handles it automatically.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Granular control</w:t>
            </w:r>
          </w:p>
        </w:tc>
        <w:tc>
          <w:tcPr>
            <w:tcW w:type="dxa" w:w="63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Policy can apply to entire catalog, specific database, specific table, or specific column.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Tag-driven automation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When a new column is tagged, the masking policy applies instantly. No manual steps.</w:t>
            </w:r>
          </w:p>
        </w:tc>
      </w:tr>
    </w:tbl>
    <w:p>
      <w:pPr>
        <w:spacing w:after="80" w:before="80"/>
      </w:pPr>
      <w:r>
        <w:t xml:space="preserve"/>
      </w:r>
    </w:p>
    <w:p>
      <w:pPr>
        <w:pStyle w:val="Heading1"/>
        <w:spacing w:after="160" w:before="360"/>
      </w:pPr>
      <w:r>
        <w:rPr>
          <w:rFonts w:ascii="Arial" w:cs="Arial" w:eastAsia="Arial" w:hAnsi="Arial"/>
          <w:b/>
          <w:bCs/>
          <w:color w:val="2E5FA3"/>
          <w:sz w:val="32"/>
          <w:szCs w:val="32"/>
        </w:rPr>
        <w:t xml:space="preserve">4. Real World Scenarios — When and Why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Situation</w:t>
            </w:r>
          </w:p>
        </w:tc>
        <w:tc>
          <w:tcPr>
            <w:tcW w:type="dxa" w:w="356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What you do</w:t>
            </w:r>
          </w:p>
        </w:tc>
        <w:tc>
          <w:tcPr>
            <w:tcW w:type="dxa" w:w="3000"/>
            <w:tcBorders>
              <w:top w:val="single" w:color="2E5FA3" w:sz="1"/>
              <w:left w:val="single" w:color="2E5FA3" w:sz="1"/>
              <w:bottom w:val="single" w:color="2E5FA3" w:sz="1"/>
              <w:right w:val="single" w:color="2E5FA3"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Retail company has customer phone and bank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Tag columns with class.phone_number and class.bank_number. Create ABAC policy masking these for analyst group.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Analysts can query data but never see real phone or bank values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HR system holds employee salaries</w:t>
            </w:r>
          </w:p>
        </w:tc>
        <w:tc>
          <w:tcPr>
            <w:tcW w:type="dxa" w:w="35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Tag salary columns with class_salary = confidential. Only HR admin group in Except for list.</w:t>
            </w:r>
          </w:p>
        </w:tc>
        <w:tc>
          <w:tcPr>
            <w:tcW w:type="dxa" w:w="3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Engineers see **** for salary. HR admin sees real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Indian vendor sends Aadhaar numbers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Tag with class_in_aadhaar. Apply ABAC policy. Only compliance officer has unmasked =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Data engineers can work with data without ever seeing real Aadhaar numbers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GDPR audit required</w:t>
            </w:r>
          </w:p>
        </w:tc>
        <w:tc>
          <w:tcPr>
            <w:tcW w:type="dxa" w:w="35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All tables tagged. ABAC policies documented. Access logs available.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Auditor can prove who accessed what sensitive data and when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New analyst joins the team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Add analyst to ro group. They inherit all existing ABAC policies automatically.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No need to set permissions table by table — catalog-level policy applies instantly</w:t>
            </w:r>
          </w:p>
        </w:tc>
      </w:tr>
    </w:tbl>
    <w:p>
      <w:pPr>
        <w:spacing w:after="80" w:before="80"/>
      </w:pPr>
      <w:r>
        <w:t xml:space="preserve"/>
      </w:r>
    </w:p>
    <w:p>
      <w:pPr>
        <w:pStyle w:val="Heading1"/>
        <w:spacing w:after="160" w:before="360"/>
      </w:pPr>
      <w:r>
        <w:rPr>
          <w:rFonts w:ascii="Arial" w:cs="Arial" w:eastAsia="Arial" w:hAnsi="Arial"/>
          <w:b/>
          <w:bCs/>
          <w:color w:val="2E5FA3"/>
          <w:sz w:val="32"/>
          <w:szCs w:val="32"/>
        </w:rPr>
        <w:t xml:space="preserve">5. When Data Governance is Most Critical</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5.1  Always use when you have any of these</w:t>
      </w:r>
    </w:p>
    <w:p>
      <w:pPr>
        <w:pStyle w:val="ListParagraph"/>
        <w:numPr>
          <w:ilvl w:val="0"/>
          <w:numId w:val="2"/>
        </w:numPr>
        <w:spacing w:after="60" w:before="60"/>
      </w:pPr>
      <w:r>
        <w:rPr>
          <w:rFonts w:ascii="Arial" w:cs="Arial" w:eastAsia="Arial" w:hAnsi="Arial"/>
          <w:sz w:val="22"/>
          <w:szCs w:val="22"/>
        </w:rPr>
        <w:t xml:space="preserve">Customer personal data — names, emails, phone numbers, addresses</w:t>
      </w:r>
    </w:p>
    <w:p>
      <w:pPr>
        <w:pStyle w:val="ListParagraph"/>
        <w:numPr>
          <w:ilvl w:val="0"/>
          <w:numId w:val="2"/>
        </w:numPr>
        <w:spacing w:after="60" w:before="60"/>
      </w:pPr>
      <w:r>
        <w:rPr>
          <w:rFonts w:ascii="Arial" w:cs="Arial" w:eastAsia="Arial" w:hAnsi="Arial"/>
          <w:sz w:val="22"/>
          <w:szCs w:val="22"/>
        </w:rPr>
        <w:t xml:space="preserve">Financial data — bank accounts, credit cards, salary, revenue figures</w:t>
      </w:r>
    </w:p>
    <w:p>
      <w:pPr>
        <w:pStyle w:val="ListParagraph"/>
        <w:numPr>
          <w:ilvl w:val="0"/>
          <w:numId w:val="2"/>
        </w:numPr>
        <w:spacing w:after="60" w:before="60"/>
      </w:pPr>
      <w:r>
        <w:rPr>
          <w:rFonts w:ascii="Arial" w:cs="Arial" w:eastAsia="Arial" w:hAnsi="Arial"/>
          <w:sz w:val="22"/>
          <w:szCs w:val="22"/>
        </w:rPr>
        <w:t xml:space="preserve">Government IDs — Aadhaar, SSN, passport, tax file numbers</w:t>
      </w:r>
    </w:p>
    <w:p>
      <w:pPr>
        <w:pStyle w:val="ListParagraph"/>
        <w:numPr>
          <w:ilvl w:val="0"/>
          <w:numId w:val="2"/>
        </w:numPr>
        <w:spacing w:after="60" w:before="60"/>
      </w:pPr>
      <w:r>
        <w:rPr>
          <w:rFonts w:ascii="Arial" w:cs="Arial" w:eastAsia="Arial" w:hAnsi="Arial"/>
          <w:sz w:val="22"/>
          <w:szCs w:val="22"/>
        </w:rPr>
        <w:t xml:space="preserve">Healthcare data — patient records, diagnoses, prescriptions</w:t>
      </w:r>
    </w:p>
    <w:p>
      <w:pPr>
        <w:pStyle w:val="ListParagraph"/>
        <w:numPr>
          <w:ilvl w:val="0"/>
          <w:numId w:val="2"/>
        </w:numPr>
        <w:spacing w:after="60" w:before="60"/>
      </w:pPr>
      <w:r>
        <w:rPr>
          <w:rFonts w:ascii="Arial" w:cs="Arial" w:eastAsia="Arial" w:hAnsi="Arial"/>
          <w:sz w:val="22"/>
          <w:szCs w:val="22"/>
        </w:rPr>
        <w:t xml:space="preserve">Biometric data — fingerprints, facial recognition data</w:t>
      </w:r>
    </w:p>
    <w:p>
      <w:pPr>
        <w:pStyle w:val="ListParagraph"/>
        <w:numPr>
          <w:ilvl w:val="0"/>
          <w:numId w:val="2"/>
        </w:numPr>
        <w:spacing w:after="60" w:before="60"/>
      </w:pPr>
      <w:r>
        <w:rPr>
          <w:rFonts w:ascii="Arial" w:cs="Arial" w:eastAsia="Arial" w:hAnsi="Arial"/>
          <w:sz w:val="22"/>
          <w:szCs w:val="22"/>
        </w:rPr>
        <w:t xml:space="preserve">Location data — GPS coordinates, home addresses</w:t>
      </w:r>
    </w:p>
    <w:p>
      <w:pPr>
        <w:pStyle w:val="ListParagraph"/>
        <w:numPr>
          <w:ilvl w:val="0"/>
          <w:numId w:val="2"/>
        </w:numPr>
        <w:spacing w:after="60" w:before="60"/>
      </w:pPr>
      <w:r>
        <w:rPr>
          <w:rFonts w:ascii="Arial" w:cs="Arial" w:eastAsia="Arial" w:hAnsi="Arial"/>
          <w:sz w:val="22"/>
          <w:szCs w:val="22"/>
        </w:rPr>
        <w:t xml:space="preserve">Children's data — any data about users under 18</w:t>
      </w:r>
    </w:p>
    <w:p>
      <w:pPr>
        <w:spacing w:after="80" w:before="80"/>
      </w:pPr>
      <w:r>
        <w:t xml:space="preserve"/>
      </w:r>
    </w:p>
    <w:p>
      <w:pPr>
        <w:pBdr>
          <w:left w:val="single" w:color="C0392B" w:sz="5" w:space="10"/>
        </w:pBdr>
        <w:spacing w:after="120" w:before="120"/>
        <w:ind w:left="400"/>
      </w:pPr>
      <w:r>
        <w:rPr>
          <w:rFonts w:ascii="Arial" w:cs="Arial" w:eastAsia="Arial" w:hAnsi="Arial"/>
          <w:i/>
          <w:iCs/>
          <w:color w:val="C0392B"/>
          <w:sz w:val="22"/>
          <w:szCs w:val="22"/>
        </w:rPr>
        <w:t xml:space="preserve">If your company handles any of the above and does NOT have access control, governed tags, and ABAC policies in place — you are violating GDPR, CCPA, or local data protection laws. Fines can reach 4% of global annual revenue under GDPR.</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5.2  Most important — for your company datapoem.com</w:t>
      </w:r>
    </w:p>
    <w:p>
      <w:pPr>
        <w:pStyle w:val="ListParagraph"/>
        <w:numPr>
          <w:ilvl w:val="0"/>
          <w:numId w:val="2"/>
        </w:numPr>
        <w:spacing w:after="60" w:before="60"/>
      </w:pPr>
      <w:r>
        <w:rPr>
          <w:rFonts w:ascii="Arial" w:cs="Arial" w:eastAsia="Arial" w:hAnsi="Arial"/>
          <w:sz w:val="22"/>
          <w:szCs w:val="22"/>
        </w:rPr>
        <w:t xml:space="preserve">Retail data contains customer phone numbers and purchase history — class_phone_number tag needed</w:t>
      </w:r>
    </w:p>
    <w:p>
      <w:pPr>
        <w:pStyle w:val="ListParagraph"/>
        <w:numPr>
          <w:ilvl w:val="0"/>
          <w:numId w:val="2"/>
        </w:numPr>
        <w:spacing w:after="60" w:before="60"/>
      </w:pPr>
      <w:r>
        <w:rPr>
          <w:rFonts w:ascii="Arial" w:cs="Arial" w:eastAsia="Arial" w:hAnsi="Arial"/>
          <w:sz w:val="22"/>
          <w:szCs w:val="22"/>
        </w:rPr>
        <w:t xml:space="preserve">TTD data may contain IP addresses and device IDs — class_ip_address tag needed</w:t>
      </w:r>
    </w:p>
    <w:p>
      <w:pPr>
        <w:pStyle w:val="ListParagraph"/>
        <w:numPr>
          <w:ilvl w:val="0"/>
          <w:numId w:val="2"/>
        </w:numPr>
        <w:spacing w:after="60" w:before="60"/>
      </w:pPr>
      <w:r>
        <w:rPr>
          <w:rFonts w:ascii="Arial" w:cs="Arial" w:eastAsia="Arial" w:hAnsi="Arial"/>
          <w:sz w:val="22"/>
          <w:szCs w:val="22"/>
        </w:rPr>
        <w:t xml:space="preserve">Any Indian vendor data may contain Aadhaar numbers — class_in_aadhaar tag needed</w:t>
      </w:r>
    </w:p>
    <w:p>
      <w:pPr>
        <w:pStyle w:val="ListParagraph"/>
        <w:numPr>
          <w:ilvl w:val="0"/>
          <w:numId w:val="2"/>
        </w:numPr>
        <w:spacing w:after="60" w:before="60"/>
      </w:pPr>
      <w:r>
        <w:rPr>
          <w:rFonts w:ascii="Arial" w:cs="Arial" w:eastAsia="Arial" w:hAnsi="Arial"/>
          <w:sz w:val="22"/>
          <w:szCs w:val="22"/>
        </w:rPr>
        <w:t xml:space="preserve">Nielsen and Facteus data may contain financial figures — class.bank_number may apply</w:t>
      </w:r>
    </w:p>
    <w:p>
      <w:pPr>
        <w:pStyle w:val="ListParagraph"/>
        <w:numPr>
          <w:ilvl w:val="0"/>
          <w:numId w:val="2"/>
        </w:numPr>
        <w:spacing w:after="60" w:before="60"/>
      </w:pPr>
      <w:r>
        <w:rPr>
          <w:rFonts w:ascii="Arial" w:cs="Arial" w:eastAsia="Arial" w:hAnsi="Arial"/>
          <w:sz w:val="22"/>
          <w:szCs w:val="22"/>
        </w:rPr>
        <w:t xml:space="preserve">RA agent data accessed by AI — ABAC policy essential to prevent AI from seeing raw PII</w:t>
      </w:r>
    </w:p>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The most critical point for AI companies like datapoem.com: your RA agent reads from gold catalogs. If those tables contain unmasked PII and your ABAC policies are not set up correctly, your AI agent will process real customer data — which is a serious compliance risk.</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6. Summary — The Full Picture</w:t>
      </w:r>
    </w:p>
    <w:p>
      <w:pPr>
        <w:spacing w:after="80" w:before="80"/>
      </w:pPr>
      <w:r>
        <w:rPr>
          <w:rFonts w:ascii="Arial" w:cs="Arial" w:eastAsia="Arial" w:hAnsi="Arial"/>
          <w:sz w:val="22"/>
          <w:szCs w:val="22"/>
        </w:rPr>
        <w:t xml:space="preserve">All three concepts work together as one system:</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Access Control defines WHO can access WHAT at the catalog, database, and table level</w:t>
      </w:r>
    </w:p>
    <w:p>
      <w:pPr>
        <w:pStyle w:val="ListParagraph"/>
        <w:numPr>
          <w:ilvl w:val="0"/>
          <w:numId w:val="2"/>
        </w:numPr>
        <w:spacing w:after="60" w:before="60"/>
      </w:pPr>
      <w:r>
        <w:rPr>
          <w:rFonts w:ascii="Arial" w:cs="Arial" w:eastAsia="Arial" w:hAnsi="Arial"/>
          <w:sz w:val="22"/>
          <w:szCs w:val="22"/>
        </w:rPr>
        <w:t xml:space="preserve">Governed Tags classify WHAT TYPE of sensitive data exists in each column</w:t>
      </w:r>
    </w:p>
    <w:p>
      <w:pPr>
        <w:pStyle w:val="ListParagraph"/>
        <w:numPr>
          <w:ilvl w:val="0"/>
          <w:numId w:val="2"/>
        </w:numPr>
        <w:spacing w:after="60" w:before="60"/>
      </w:pPr>
      <w:r>
        <w:rPr>
          <w:rFonts w:ascii="Arial" w:cs="Arial" w:eastAsia="Arial" w:hAnsi="Arial"/>
          <w:sz w:val="22"/>
          <w:szCs w:val="22"/>
        </w:rPr>
        <w:t xml:space="preserve">ABAC Policies enforce HOW sensitive data is shown based on who is asking</w:t>
      </w:r>
    </w:p>
    <w:p>
      <w:pPr>
        <w:spacing w:after="80" w:before="80"/>
      </w:pPr>
      <w:r>
        <w:t xml:space="preserve"/>
      </w:r>
    </w:p>
    <w:p>
      <w:pPr>
        <w:spacing w:after="80" w:before="80"/>
      </w:pPr>
      <w:r>
        <w:rPr>
          <w:rFonts w:ascii="Arial" w:cs="Arial" w:eastAsia="Arial" w:hAnsi="Arial"/>
          <w:sz w:val="22"/>
          <w:szCs w:val="22"/>
        </w:rPr>
        <w:t xml:space="preserve">Together they create a complete data governance layer where:</w:t>
      </w:r>
    </w:p>
    <w:p>
      <w:pPr>
        <w:pStyle w:val="ListParagraph"/>
        <w:numPr>
          <w:ilvl w:val="0"/>
          <w:numId w:val="2"/>
        </w:numPr>
        <w:spacing w:after="60" w:before="60"/>
      </w:pPr>
      <w:r>
        <w:rPr>
          <w:rFonts w:ascii="Arial" w:cs="Arial" w:eastAsia="Arial" w:hAnsi="Arial"/>
          <w:sz w:val="22"/>
          <w:szCs w:val="22"/>
        </w:rPr>
        <w:t xml:space="preserve">Engineers can build pipelines without seeing customer PII</w:t>
      </w:r>
    </w:p>
    <w:p>
      <w:pPr>
        <w:pStyle w:val="ListParagraph"/>
        <w:numPr>
          <w:ilvl w:val="0"/>
          <w:numId w:val="2"/>
        </w:numPr>
        <w:spacing w:after="60" w:before="60"/>
      </w:pPr>
      <w:r>
        <w:rPr>
          <w:rFonts w:ascii="Arial" w:cs="Arial" w:eastAsia="Arial" w:hAnsi="Arial"/>
          <w:sz w:val="22"/>
          <w:szCs w:val="22"/>
        </w:rPr>
        <w:t xml:space="preserve">Analysts can query data without seeing financial details</w:t>
      </w:r>
    </w:p>
    <w:p>
      <w:pPr>
        <w:pStyle w:val="ListParagraph"/>
        <w:numPr>
          <w:ilvl w:val="0"/>
          <w:numId w:val="2"/>
        </w:numPr>
        <w:spacing w:after="60" w:before="60"/>
      </w:pPr>
      <w:r>
        <w:rPr>
          <w:rFonts w:ascii="Arial" w:cs="Arial" w:eastAsia="Arial" w:hAnsi="Arial"/>
          <w:sz w:val="22"/>
          <w:szCs w:val="22"/>
        </w:rPr>
        <w:t xml:space="preserve">AI agents can use data without processing raw sensitive identifiers</w:t>
      </w:r>
    </w:p>
    <w:p>
      <w:pPr>
        <w:pStyle w:val="ListParagraph"/>
        <w:numPr>
          <w:ilvl w:val="0"/>
          <w:numId w:val="2"/>
        </w:numPr>
        <w:spacing w:after="60" w:before="60"/>
      </w:pPr>
      <w:r>
        <w:rPr>
          <w:rFonts w:ascii="Arial" w:cs="Arial" w:eastAsia="Arial" w:hAnsi="Arial"/>
          <w:sz w:val="22"/>
          <w:szCs w:val="22"/>
        </w:rPr>
        <w:t xml:space="preserve">Compliance teams can audit everything with full logs</w:t>
      </w:r>
    </w:p>
    <w:p>
      <w:pPr>
        <w:pStyle w:val="ListParagraph"/>
        <w:numPr>
          <w:ilvl w:val="0"/>
          <w:numId w:val="2"/>
        </w:numPr>
        <w:spacing w:after="60" w:before="60"/>
      </w:pPr>
      <w:r>
        <w:rPr>
          <w:rFonts w:ascii="Arial" w:cs="Arial" w:eastAsia="Arial" w:hAnsi="Arial"/>
          <w:sz w:val="22"/>
          <w:szCs w:val="22"/>
        </w:rPr>
        <w:t xml:space="preserve">New team members automatically inherit all policies the moment they are added to a group</w:t>
      </w:r>
    </w:p>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This is exactly what the governance exercise Sid assigned you is building. You are not just creating catalogs and databases — you are laying the foundation for your company's entire data security architecture.</w:t>
      </w:r>
    </w:p>
    <w:p>
      <w:pPr>
        <w:spacing w:after="80" w:before="80"/>
      </w:pPr>
      <w:r>
        <w:t xml:space="preserve"/>
      </w:r>
    </w:p>
    <w:p>
      <w:pPr>
        <w:pBdr>
          <w:top w:val="single" w:color="2E5FA3" w:sz="4" w:space="8"/>
        </w:pBdr>
        <w:spacing w:after="0" w:before="280"/>
      </w:pPr>
      <w:r>
        <w:rPr>
          <w:rFonts w:ascii="Arial" w:cs="Arial" w:eastAsia="Arial" w:hAnsi="Arial"/>
          <w:i/>
          <w:iCs/>
          <w:color w:val="888888"/>
          <w:sz w:val="18"/>
          <w:szCs w:val="18"/>
        </w:rPr>
        <w:t xml:space="preserve">Databricks Governance Exercise  |  Paresh Ranjan Rout  |  Data Governance Complete Guide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F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2026-05-01T13:09:07.223Z</dcterms:created>
  <dcterms:modified xsi:type="dcterms:W3CDTF">2026-05-01T13:09:07.224Z</dcterms:modified>
</cp:coreProperties>
</file>

<file path=docProps/custom.xml><?xml version="1.0" encoding="utf-8"?>
<Properties xmlns="http://schemas.openxmlformats.org/officeDocument/2006/custom-properties" xmlns:vt="http://schemas.openxmlformats.org/officeDocument/2006/docPropsVTypes"/>
</file>