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jc w:val="center"/>
      </w:pPr>
      <w:r>
        <w:rPr>
          <w:rFonts w:ascii="Arial" w:cs="Arial" w:eastAsia="Arial" w:hAnsi="Arial"/>
          <w:b/>
          <w:bCs/>
          <w:color w:val="1F4E79"/>
          <w:sz w:val="96"/>
          <w:szCs w:val="96"/>
        </w:rPr>
        <w:t xml:space="preserve">ITIL 4</w:t>
      </w:r>
    </w:p>
    <w:p>
      <w:pPr>
        <w:spacing w:after="80"/>
        <w:jc w:val="center"/>
      </w:pPr>
      <w:r>
        <w:rPr>
          <w:rFonts w:ascii="Arial" w:cs="Arial" w:eastAsia="Arial" w:hAnsi="Arial"/>
          <w:i/>
          <w:iCs/>
          <w:color w:val="2E75B6"/>
          <w:sz w:val="30"/>
          <w:szCs w:val="30"/>
        </w:rPr>
        <w:t xml:space="preserve">The Complete Documentary Guide to</w:t>
      </w:r>
    </w:p>
    <w:p>
      <w:pPr>
        <w:spacing w:after="240"/>
        <w:jc w:val="center"/>
      </w:pPr>
      <w:r>
        <w:rPr>
          <w:rFonts w:ascii="Arial" w:cs="Arial" w:eastAsia="Arial" w:hAnsi="Arial"/>
          <w:b/>
          <w:bCs/>
          <w:color w:val="1F4E79"/>
          <w:sz w:val="48"/>
          <w:szCs w:val="48"/>
        </w:rPr>
        <w:t xml:space="preserve">IT Service Management</w:t>
      </w:r>
    </w:p>
    <w:p>
      <w:pPr>
        <w:pBdr>
          <w:bottom w:val="single" w:color="2E75B6" w:sz="6" w:space="1"/>
        </w:pBdr>
        <w:spacing w:before="160" w:after="160"/>
      </w:pPr>
      <w:r>
        <w:t xml:space="preserve"/>
      </w:r>
    </w:p>
    <w:p>
      <w:pPr>
        <w:spacing w:after="600"/>
        <w:jc w:val="center"/>
      </w:pPr>
      <w:r>
        <w:rPr>
          <w:rFonts w:ascii="Arial" w:cs="Arial" w:eastAsia="Arial" w:hAnsi="Arial"/>
          <w:i/>
          <w:iCs/>
          <w:color w:val="5A5A5A"/>
          <w:sz w:val="24"/>
          <w:szCs w:val="24"/>
        </w:rPr>
        <w:t xml:space="preserve">Origins · Evolution · Framework · 34 Management Practices</w:t>
      </w:r>
    </w:p>
    <w:p>
      <w:pPr>
        <w:spacing w:before="600"/>
      </w:pPr>
      <w:r>
        <w:t xml:space="preserve"/>
      </w:r>
    </w:p>
    <w:p>
      <w:r>
        <w:br w:type="page"/>
      </w:r>
    </w:p>
    <w:p>
      <w:pPr>
        <w:pStyle w:val="Heading1"/>
        <w:spacing w:before="360" w:after="200"/>
      </w:pPr>
      <w:r>
        <w:rPr>
          <w:rFonts w:ascii="Arial" w:cs="Arial" w:eastAsia="Arial" w:hAnsi="Arial"/>
          <w:b/>
          <w:bCs/>
          <w:sz w:val="36"/>
          <w:szCs w:val="36"/>
        </w:rPr>
        <w:t xml:space="preserve">Chapter 1: The Origins of ITIL</w:t>
      </w:r>
    </w:p>
    <w:p>
      <w:pPr>
        <w:pBdr>
          <w:bottom w:val="single" w:color="2E75B6" w:sz="6" w:space="1"/>
        </w:pBdr>
        <w:spacing w:before="160" w:after="160"/>
      </w:pPr>
      <w:r>
        <w:t xml:space="preserve"/>
      </w:r>
    </w:p>
    <w:p>
      <w:pPr>
        <w:spacing w:before="80" w:after="120"/>
        <w:jc w:val="both"/>
      </w:pPr>
      <w:r>
        <w:rPr>
          <w:rFonts w:ascii="Arial" w:cs="Arial" w:eastAsia="Arial" w:hAnsi="Arial"/>
          <w:sz w:val="22"/>
          <w:szCs w:val="22"/>
        </w:rPr>
        <w:t xml:space="preserve">In the early 1980s, the United Kingdom government found itself grappling with a mounting crisis. Its vast network of public sector IT systems was becoming increasingly unmanageable. Departments operated in silos, systems spoke different languages, and the quality of IT services delivered to citizens was alarmingly inconsistent. Something had to change.</w:t>
      </w:r>
    </w:p>
    <w:p>
      <w:pPr>
        <w:spacing w:before="80" w:after="120"/>
        <w:jc w:val="both"/>
      </w:pPr>
      <w:r>
        <w:rPr>
          <w:rFonts w:ascii="Arial" w:cs="Arial" w:eastAsia="Arial" w:hAnsi="Arial"/>
          <w:sz w:val="22"/>
          <w:szCs w:val="22"/>
        </w:rPr>
        <w:t xml:space="preserve">The response came from an unlikely corner of Whitehall. The Central Computer and Telecommunications Agency (CCTA), a government body responsible for improving the use of IT across public services, was tasked with developing a framework that could bring order to the chaos. The year was 1986, and the mission was straightforward in ambition but complex in execution: create a set of best practices for IT service management that could be adopted across government departments.</w:t>
      </w:r>
    </w:p>
    <w:p>
      <w:pPr>
        <w:spacing w:before="80" w:after="120"/>
        <w:jc w:val="both"/>
      </w:pPr>
      <w:r>
        <w:rPr>
          <w:rFonts w:ascii="Arial" w:cs="Arial" w:eastAsia="Arial" w:hAnsi="Arial"/>
          <w:sz w:val="22"/>
          <w:szCs w:val="22"/>
        </w:rPr>
        <w:t xml:space="preserve">The team at CCTA began interviewing IT professionals across the private and public sectors, documenting what worked and what did not. They catalogued everything — how services were designed, how incidents were handled, how changes were managed. By the late 1980s, the first volumes of what would become known as the IT Infrastructure Library began to emerge. They were physical books — binders, really — covering everything from service delivery to security. At its peak, the original ITIL comprised over 30 volumes.</w:t>
      </w:r>
    </w:p>
    <w:p>
      <w:pPr>
        <w:spacing w:before="80" w:after="120"/>
        <w:jc w:val="both"/>
      </w:pPr>
      <w:r>
        <w:rPr>
          <w:rFonts w:ascii="Arial" w:cs="Arial" w:eastAsia="Arial" w:hAnsi="Arial"/>
          <w:sz w:val="22"/>
          <w:szCs w:val="22"/>
        </w:rPr>
        <w:t xml:space="preserve">Initially, adoption was limited to the UK public sector. But word spread. IT managers in the private sector who stumbled across the framework found a refreshing quality in it: these were not theoretical constructs invented in a lab, but real practices distilled from real organizations that had actually worked. By the early 1990s, ITIL was crossing the channel and finding audiences in the Netherlands, Scandinavia, and beyond.</w:t>
      </w:r>
    </w:p>
    <w:p>
      <w:r>
        <w:br w:type="page"/>
      </w:r>
    </w:p>
    <w:p>
      <w:pPr>
        <w:pStyle w:val="Heading1"/>
        <w:spacing w:before="360" w:after="200"/>
      </w:pPr>
      <w:r>
        <w:rPr>
          <w:rFonts w:ascii="Arial" w:cs="Arial" w:eastAsia="Arial" w:hAnsi="Arial"/>
          <w:b/>
          <w:bCs/>
          <w:sz w:val="36"/>
          <w:szCs w:val="36"/>
        </w:rPr>
        <w:t xml:space="preserve">Chapter 2: The Evolution — From v1 to ITIL 4</w:t>
      </w:r>
    </w:p>
    <w:p>
      <w:pPr>
        <w:pBdr>
          <w:bottom w:val="single" w:color="2E75B6" w:sz="6" w:space="1"/>
        </w:pBdr>
        <w:spacing w:before="160" w:after="160"/>
      </w:pPr>
      <w:r>
        <w:t xml:space="preserve"/>
      </w:r>
    </w:p>
    <w:p>
      <w:pPr>
        <w:pStyle w:val="Heading2"/>
        <w:spacing w:before="280" w:after="140"/>
      </w:pPr>
      <w:r>
        <w:rPr>
          <w:rFonts w:ascii="Arial" w:cs="Arial" w:eastAsia="Arial" w:hAnsi="Arial"/>
          <w:b/>
          <w:bCs/>
          <w:color w:val="1F4E79"/>
          <w:sz w:val="28"/>
          <w:szCs w:val="28"/>
        </w:rPr>
        <w:t xml:space="preserve">ITIL Version 1 (1987–1996)</w:t>
      </w:r>
    </w:p>
    <w:p>
      <w:pPr>
        <w:spacing w:before="80" w:after="120"/>
        <w:jc w:val="both"/>
      </w:pPr>
      <w:r>
        <w:rPr>
          <w:rFonts w:ascii="Arial" w:cs="Arial" w:eastAsia="Arial" w:hAnsi="Arial"/>
          <w:sz w:val="22"/>
          <w:szCs w:val="22"/>
        </w:rPr>
        <w:t xml:space="preserve">The first iteration was monumental in scope but unwieldy in practice. Over 30 volumes covering virtually every conceivable aspect of IT management. Its comprehensive nature was both its strength and its weakness. Organizations found it overwhelming to know where to start.</w:t>
      </w:r>
    </w:p>
    <w:p>
      <w:pPr>
        <w:pStyle w:val="Heading2"/>
        <w:spacing w:before="280" w:after="140"/>
      </w:pPr>
      <w:r>
        <w:rPr>
          <w:rFonts w:ascii="Arial" w:cs="Arial" w:eastAsia="Arial" w:hAnsi="Arial"/>
          <w:b/>
          <w:bCs/>
          <w:color w:val="1F4E79"/>
          <w:sz w:val="28"/>
          <w:szCs w:val="28"/>
        </w:rPr>
        <w:t xml:space="preserve">ITIL Version 2 (2001)</w:t>
      </w:r>
    </w:p>
    <w:p>
      <w:pPr>
        <w:spacing w:before="80" w:after="120"/>
        <w:jc w:val="both"/>
      </w:pPr>
      <w:r>
        <w:rPr>
          <w:rFonts w:ascii="Arial" w:cs="Arial" w:eastAsia="Arial" w:hAnsi="Arial"/>
          <w:sz w:val="22"/>
          <w:szCs w:val="22"/>
        </w:rPr>
        <w:t xml:space="preserve">The arrival of the new millennium brought a dramatically streamlined ITIL. Version 2 consolidated the sprawling library into two core disciplines: Service Support and Service Delivery. This consolidation proved transformative. For the first time, a company could pick up ITIL and realistically implement it. Version 2 introduced the world to key concepts that would become cornerstones of IT management: the Service Desk as a single point of contact, Change Management as a disciplined process, and the Configuration Management Database (CMDB) as the beating heart of service infrastructure knowledge. Global adoption exploded. Professional certifications emerged. ITIL had become an industry.</w:t>
      </w:r>
    </w:p>
    <w:p>
      <w:pPr>
        <w:pStyle w:val="Heading2"/>
        <w:spacing w:before="280" w:after="140"/>
      </w:pPr>
      <w:r>
        <w:rPr>
          <w:rFonts w:ascii="Arial" w:cs="Arial" w:eastAsia="Arial" w:hAnsi="Arial"/>
          <w:b/>
          <w:bCs/>
          <w:color w:val="1F4E79"/>
          <w:sz w:val="28"/>
          <w:szCs w:val="28"/>
        </w:rPr>
        <w:t xml:space="preserve">ITIL Version 3 (2007) &amp; 2011 Update</w:t>
      </w:r>
    </w:p>
    <w:p>
      <w:pPr>
        <w:spacing w:before="80" w:after="120"/>
        <w:jc w:val="both"/>
      </w:pPr>
      <w:r>
        <w:rPr>
          <w:rFonts w:ascii="Arial" w:cs="Arial" w:eastAsia="Arial" w:hAnsi="Arial"/>
          <w:sz w:val="22"/>
          <w:szCs w:val="22"/>
        </w:rPr>
        <w:t xml:space="preserve">The 2007 refresh brought a profound philosophical shift. Rather than thinking of IT services as a collection of processes, ITIL v3 introduced the concept of the Service Lifecycle — a circular, continuous model with five stages: Service Strategy, Service Design, Service Transition, Service Operation, and Continual Service Improvement. This framing transformed how organizations thought about IT services. A service was no longer a thing to be delivered; it was a living entity with a lifecycle, requiring care and strategy at every stage. The 2011 update refined the framework further, addressing inconsistencies and adding clarity to roles and responsibilities.</w:t>
      </w:r>
    </w:p>
    <w:p>
      <w:pPr>
        <w:pStyle w:val="Heading2"/>
        <w:spacing w:before="280" w:after="140"/>
      </w:pPr>
      <w:r>
        <w:rPr>
          <w:rFonts w:ascii="Arial" w:cs="Arial" w:eastAsia="Arial" w:hAnsi="Arial"/>
          <w:b/>
          <w:bCs/>
          <w:color w:val="1F4E79"/>
          <w:sz w:val="28"/>
          <w:szCs w:val="28"/>
        </w:rPr>
        <w:t xml:space="preserve">ITIL 4 (2019 — Present)</w:t>
      </w:r>
    </w:p>
    <w:p>
      <w:pPr>
        <w:spacing w:before="80" w:after="120"/>
        <w:jc w:val="both"/>
      </w:pPr>
      <w:r>
        <w:rPr>
          <w:rFonts w:ascii="Arial" w:cs="Arial" w:eastAsia="Arial" w:hAnsi="Arial"/>
          <w:sz w:val="22"/>
          <w:szCs w:val="22"/>
        </w:rPr>
        <w:t xml:space="preserve">By the mid-2010s, the world had changed dramatically. Cloud computing, DevOps, Agile methodologies, artificial intelligence, and digital transformation were reshaping the entire technology landscape. The rigid process-centric view of ITIL v3 felt increasingly out of step with the speed and flexibility demanded by modern organizations.</w:t>
      </w:r>
    </w:p>
    <w:p>
      <w:pPr>
        <w:spacing w:before="80" w:after="120"/>
        <w:jc w:val="both"/>
      </w:pPr>
      <w:r>
        <w:rPr>
          <w:rFonts w:ascii="Arial" w:cs="Arial" w:eastAsia="Arial" w:hAnsi="Arial"/>
          <w:sz w:val="22"/>
          <w:szCs w:val="22"/>
        </w:rPr>
        <w:t xml:space="preserve">In 2019, AXELOS (the joint venture between the UK government and Capita responsible for ITIL) released ITIL 4. The transformation was sweeping. Gone was the prescriptive, siloed process model. In its place stood a holistic, flexible framework built around value creation. ITIL 4 introduced the Service Value System (SVS), the Service Value Chain, four guiding dimensions, seven guiding principles, and — most significantly — 34 management practices replacing the older process definitions.</w:t>
      </w:r>
    </w:p>
    <w:p>
      <w:pPr>
        <w:spacing w:before="80" w:after="120"/>
        <w:jc w:val="both"/>
      </w:pPr>
      <w:r>
        <w:rPr>
          <w:rFonts w:ascii="Arial" w:cs="Arial" w:eastAsia="Arial" w:hAnsi="Arial"/>
          <w:sz w:val="22"/>
          <w:szCs w:val="22"/>
        </w:rPr>
        <w:t xml:space="preserve">ITIL 4 was designed to integrate seamlessly with Agile, Lean, and DevOps approaches. It acknowledged that modern IT organizations do not operate in linear, waterfall-style processes, but in rapid, iterative cycles. The framework became a conversation partner rather than a rulebook.</w:t>
      </w:r>
    </w:p>
    <w:p>
      <w:r>
        <w:br w:type="page"/>
      </w:r>
    </w:p>
    <w:p>
      <w:pPr>
        <w:pStyle w:val="Heading1"/>
        <w:spacing w:before="360" w:after="200"/>
      </w:pPr>
      <w:r>
        <w:rPr>
          <w:rFonts w:ascii="Arial" w:cs="Arial" w:eastAsia="Arial" w:hAnsi="Arial"/>
          <w:b/>
          <w:bCs/>
          <w:sz w:val="36"/>
          <w:szCs w:val="36"/>
        </w:rPr>
        <w:t xml:space="preserve">Chapter 3: The ITIL 4 Framework Architecture</w:t>
      </w:r>
    </w:p>
    <w:p>
      <w:pPr>
        <w:pBdr>
          <w:bottom w:val="single" w:color="2E75B6" w:sz="6" w:space="1"/>
        </w:pBdr>
        <w:spacing w:before="160" w:after="160"/>
      </w:pPr>
      <w:r>
        <w:t xml:space="preserve"/>
      </w:r>
    </w:p>
    <w:p>
      <w:pPr>
        <w:pStyle w:val="Heading2"/>
        <w:spacing w:before="280" w:after="140"/>
      </w:pPr>
      <w:r>
        <w:rPr>
          <w:rFonts w:ascii="Arial" w:cs="Arial" w:eastAsia="Arial" w:hAnsi="Arial"/>
          <w:b/>
          <w:bCs/>
          <w:color w:val="1F4E79"/>
          <w:sz w:val="28"/>
          <w:szCs w:val="28"/>
        </w:rPr>
        <w:t xml:space="preserve">The Service Value System (SVS)</w:t>
      </w:r>
    </w:p>
    <w:p>
      <w:pPr>
        <w:spacing w:before="80" w:after="120"/>
        <w:jc w:val="both"/>
      </w:pPr>
      <w:r>
        <w:rPr>
          <w:rFonts w:ascii="Arial" w:cs="Arial" w:eastAsia="Arial" w:hAnsi="Arial"/>
          <w:sz w:val="22"/>
          <w:szCs w:val="22"/>
        </w:rPr>
        <w:t xml:space="preserve">At the heart of ITIL 4 is the Service Value System — a model that describes how all the components and activities of an organization work together to enable value creation. The SVS takes inputs (demand and opportunity) and produces value as its output. It is composed of five elements working in concert.</w:t>
      </w:r>
    </w:p>
    <w:p>
      <w:pPr>
        <w:pStyle w:val="ListParagraph"/>
        <w:numPr>
          <w:ilvl w:val="0"/>
          <w:numId w:val="2"/>
        </w:numPr>
        <w:spacing w:before="40" w:after="60"/>
      </w:pPr>
      <w:r>
        <w:rPr>
          <w:rFonts w:ascii="Arial" w:cs="Arial" w:eastAsia="Arial" w:hAnsi="Arial"/>
          <w:sz w:val="22"/>
          <w:szCs w:val="22"/>
        </w:rPr>
        <w:t xml:space="preserve">Guiding Principles — Universal recommendations that guide organizations in all circumstances</w:t>
      </w:r>
    </w:p>
    <w:p>
      <w:pPr>
        <w:pStyle w:val="ListParagraph"/>
        <w:numPr>
          <w:ilvl w:val="0"/>
          <w:numId w:val="2"/>
        </w:numPr>
        <w:spacing w:before="40" w:after="60"/>
      </w:pPr>
      <w:r>
        <w:rPr>
          <w:rFonts w:ascii="Arial" w:cs="Arial" w:eastAsia="Arial" w:hAnsi="Arial"/>
          <w:sz w:val="22"/>
          <w:szCs w:val="22"/>
        </w:rPr>
        <w:t xml:space="preserve">Governance — The means by which an organization is directed and controlled</w:t>
      </w:r>
    </w:p>
    <w:p>
      <w:pPr>
        <w:pStyle w:val="ListParagraph"/>
        <w:numPr>
          <w:ilvl w:val="0"/>
          <w:numId w:val="2"/>
        </w:numPr>
        <w:spacing w:before="40" w:after="60"/>
      </w:pPr>
      <w:r>
        <w:rPr>
          <w:rFonts w:ascii="Arial" w:cs="Arial" w:eastAsia="Arial" w:hAnsi="Arial"/>
          <w:sz w:val="22"/>
          <w:szCs w:val="22"/>
        </w:rPr>
        <w:t xml:space="preserve">Service Value Chain — An operating model for the creation, delivery, and continual improvement of services</w:t>
      </w:r>
    </w:p>
    <w:p>
      <w:pPr>
        <w:pStyle w:val="ListParagraph"/>
        <w:numPr>
          <w:ilvl w:val="0"/>
          <w:numId w:val="2"/>
        </w:numPr>
        <w:spacing w:before="40" w:after="60"/>
      </w:pPr>
      <w:r>
        <w:rPr>
          <w:rFonts w:ascii="Arial" w:cs="Arial" w:eastAsia="Arial" w:hAnsi="Arial"/>
          <w:sz w:val="22"/>
          <w:szCs w:val="22"/>
        </w:rPr>
        <w:t xml:space="preserve">Practices — Sets of organizational resources designed for performing work or accomplishing an objective (the 34 practices)</w:t>
      </w:r>
    </w:p>
    <w:p>
      <w:pPr>
        <w:pStyle w:val="ListParagraph"/>
        <w:numPr>
          <w:ilvl w:val="0"/>
          <w:numId w:val="2"/>
        </w:numPr>
        <w:spacing w:before="40" w:after="60"/>
      </w:pPr>
      <w:r>
        <w:rPr>
          <w:rFonts w:ascii="Arial" w:cs="Arial" w:eastAsia="Arial" w:hAnsi="Arial"/>
          <w:sz w:val="22"/>
          <w:szCs w:val="22"/>
        </w:rPr>
        <w:t xml:space="preserve">Continual Improvement — A recurring organizational activity at every level of the SVS</w:t>
      </w:r>
    </w:p>
    <w:p>
      <w:pPr>
        <w:pStyle w:val="Heading2"/>
        <w:spacing w:before="280" w:after="140"/>
      </w:pPr>
      <w:r>
        <w:rPr>
          <w:rFonts w:ascii="Arial" w:cs="Arial" w:eastAsia="Arial" w:hAnsi="Arial"/>
          <w:b/>
          <w:bCs/>
          <w:color w:val="1F4E79"/>
          <w:sz w:val="28"/>
          <w:szCs w:val="28"/>
        </w:rPr>
        <w:t xml:space="preserve">The Service Value Chain</w:t>
      </w:r>
    </w:p>
    <w:p>
      <w:pPr>
        <w:spacing w:before="80" w:after="120"/>
        <w:jc w:val="both"/>
      </w:pPr>
      <w:r>
        <w:rPr>
          <w:rFonts w:ascii="Arial" w:cs="Arial" w:eastAsia="Arial" w:hAnsi="Arial"/>
          <w:sz w:val="22"/>
          <w:szCs w:val="22"/>
        </w:rPr>
        <w:t xml:space="preserve">The Service Value Chain is a flexible operating model at the center of the SVS. It defines six key activities that combine in different ways to create value streams tailored to specific service scenarios. These activities are: Plan, Improve, Engage, Design and Transition, Obtain and Build, and Deliver and Support. Unlike the linear lifecycle of ITIL v3, the Value Chain is a web — activities connect to each other in multiple ways, enabling the agile, responsive service delivery that modern organizations demand.</w:t>
      </w:r>
    </w:p>
    <w:p>
      <w:pPr>
        <w:pStyle w:val="Heading2"/>
        <w:spacing w:before="280" w:after="140"/>
      </w:pPr>
      <w:r>
        <w:rPr>
          <w:rFonts w:ascii="Arial" w:cs="Arial" w:eastAsia="Arial" w:hAnsi="Arial"/>
          <w:b/>
          <w:bCs/>
          <w:color w:val="1F4E79"/>
          <w:sz w:val="28"/>
          <w:szCs w:val="28"/>
        </w:rPr>
        <w:t xml:space="preserve">The Four Dimensions</w:t>
      </w:r>
    </w:p>
    <w:p>
      <w:pPr>
        <w:spacing w:before="80" w:after="120"/>
        <w:jc w:val="both"/>
      </w:pPr>
      <w:r>
        <w:rPr>
          <w:rFonts w:ascii="Arial" w:cs="Arial" w:eastAsia="Arial" w:hAnsi="Arial"/>
          <w:sz w:val="22"/>
          <w:szCs w:val="22"/>
        </w:rPr>
        <w:t xml:space="preserve">ITIL 4 mandates that every service, practice, and component of the SVS must be considered through the lens of four critical dimensions, ensuring a holistic and balanced approach.</w:t>
      </w:r>
    </w:p>
    <w:p>
      <w:pPr>
        <w:pStyle w:val="ListParagraph"/>
        <w:numPr>
          <w:ilvl w:val="0"/>
          <w:numId w:val="2"/>
        </w:numPr>
        <w:spacing w:before="40" w:after="60"/>
      </w:pPr>
      <w:r>
        <w:rPr>
          <w:rFonts w:ascii="Arial" w:cs="Arial" w:eastAsia="Arial" w:hAnsi="Arial"/>
          <w:sz w:val="22"/>
          <w:szCs w:val="22"/>
        </w:rPr>
        <w:t xml:space="preserve">Organizations and People — Culture, capacity, competencies, and communication structures</w:t>
      </w:r>
    </w:p>
    <w:p>
      <w:pPr>
        <w:pStyle w:val="ListParagraph"/>
        <w:numPr>
          <w:ilvl w:val="0"/>
          <w:numId w:val="2"/>
        </w:numPr>
        <w:spacing w:before="40" w:after="60"/>
      </w:pPr>
      <w:r>
        <w:rPr>
          <w:rFonts w:ascii="Arial" w:cs="Arial" w:eastAsia="Arial" w:hAnsi="Arial"/>
          <w:sz w:val="22"/>
          <w:szCs w:val="22"/>
        </w:rPr>
        <w:t xml:space="preserve">Information and Technology — Knowledge, data, analytics, AI, and enabling technologies</w:t>
      </w:r>
    </w:p>
    <w:p>
      <w:pPr>
        <w:pStyle w:val="ListParagraph"/>
        <w:numPr>
          <w:ilvl w:val="0"/>
          <w:numId w:val="2"/>
        </w:numPr>
        <w:spacing w:before="40" w:after="60"/>
      </w:pPr>
      <w:r>
        <w:rPr>
          <w:rFonts w:ascii="Arial" w:cs="Arial" w:eastAsia="Arial" w:hAnsi="Arial"/>
          <w:sz w:val="22"/>
          <w:szCs w:val="22"/>
        </w:rPr>
        <w:t xml:space="preserve">Partners and Suppliers — Relationships and contracts with external organizations</w:t>
      </w:r>
    </w:p>
    <w:p>
      <w:pPr>
        <w:pStyle w:val="ListParagraph"/>
        <w:numPr>
          <w:ilvl w:val="0"/>
          <w:numId w:val="2"/>
        </w:numPr>
        <w:spacing w:before="40" w:after="60"/>
      </w:pPr>
      <w:r>
        <w:rPr>
          <w:rFonts w:ascii="Arial" w:cs="Arial" w:eastAsia="Arial" w:hAnsi="Arial"/>
          <w:sz w:val="22"/>
          <w:szCs w:val="22"/>
        </w:rPr>
        <w:t xml:space="preserve">Value Streams and Processes — How the organization's activities create value</w:t>
      </w:r>
    </w:p>
    <w:p>
      <w:pPr>
        <w:pStyle w:val="Heading2"/>
        <w:spacing w:before="280" w:after="140"/>
      </w:pPr>
      <w:r>
        <w:rPr>
          <w:rFonts w:ascii="Arial" w:cs="Arial" w:eastAsia="Arial" w:hAnsi="Arial"/>
          <w:b/>
          <w:bCs/>
          <w:color w:val="1F4E79"/>
          <w:sz w:val="28"/>
          <w:szCs w:val="28"/>
        </w:rPr>
        <w:t xml:space="preserve">The Seven Guiding Principles</w:t>
      </w:r>
    </w:p>
    <w:p>
      <w:pPr>
        <w:spacing w:before="80" w:after="120"/>
        <w:jc w:val="both"/>
      </w:pPr>
      <w:r>
        <w:rPr>
          <w:rFonts w:ascii="Arial" w:cs="Arial" w:eastAsia="Arial" w:hAnsi="Arial"/>
          <w:sz w:val="22"/>
          <w:szCs w:val="22"/>
        </w:rPr>
        <w:t xml:space="preserve">ITIL 4's seven guiding principles are universal recommendations applicable to any organization in any context. They are not prescriptive mandates but philosophical guides that help practitioners make good decisions.</w:t>
      </w:r>
    </w:p>
    <w:p>
      <w:pPr>
        <w:pStyle w:val="ListParagraph"/>
        <w:numPr>
          <w:ilvl w:val="0"/>
          <w:numId w:val="2"/>
        </w:numPr>
        <w:spacing w:before="40" w:after="60"/>
      </w:pPr>
      <w:r>
        <w:rPr>
          <w:rFonts w:ascii="Arial" w:cs="Arial" w:eastAsia="Arial" w:hAnsi="Arial"/>
          <w:sz w:val="22"/>
          <w:szCs w:val="22"/>
        </w:rPr>
        <w:t xml:space="preserve">Focus on Value — Everything the organization does must link back to value for stakeholders</w:t>
      </w:r>
    </w:p>
    <w:p>
      <w:pPr>
        <w:pStyle w:val="ListParagraph"/>
        <w:numPr>
          <w:ilvl w:val="0"/>
          <w:numId w:val="2"/>
        </w:numPr>
        <w:spacing w:before="40" w:after="60"/>
      </w:pPr>
      <w:r>
        <w:rPr>
          <w:rFonts w:ascii="Arial" w:cs="Arial" w:eastAsia="Arial" w:hAnsi="Arial"/>
          <w:sz w:val="22"/>
          <w:szCs w:val="22"/>
        </w:rPr>
        <w:t xml:space="preserve">Start Where You Are — Do not start from scratch; assess what currently exists and build upon it</w:t>
      </w:r>
    </w:p>
    <w:p>
      <w:pPr>
        <w:pStyle w:val="ListParagraph"/>
        <w:numPr>
          <w:ilvl w:val="0"/>
          <w:numId w:val="2"/>
        </w:numPr>
        <w:spacing w:before="40" w:after="60"/>
      </w:pPr>
      <w:r>
        <w:rPr>
          <w:rFonts w:ascii="Arial" w:cs="Arial" w:eastAsia="Arial" w:hAnsi="Arial"/>
          <w:sz w:val="22"/>
          <w:szCs w:val="22"/>
        </w:rPr>
        <w:t xml:space="preserve">Progress Iteratively with Feedback — Work in small, manageable increments with regular feedback loops</w:t>
      </w:r>
    </w:p>
    <w:p>
      <w:pPr>
        <w:pStyle w:val="ListParagraph"/>
        <w:numPr>
          <w:ilvl w:val="0"/>
          <w:numId w:val="2"/>
        </w:numPr>
        <w:spacing w:before="40" w:after="60"/>
      </w:pPr>
      <w:r>
        <w:rPr>
          <w:rFonts w:ascii="Arial" w:cs="Arial" w:eastAsia="Arial" w:hAnsi="Arial"/>
          <w:sz w:val="22"/>
          <w:szCs w:val="22"/>
        </w:rPr>
        <w:t xml:space="preserve">Collaborate and Promote Visibility — Work together across boundaries and make work transparent</w:t>
      </w:r>
    </w:p>
    <w:p>
      <w:pPr>
        <w:pStyle w:val="ListParagraph"/>
        <w:numPr>
          <w:ilvl w:val="0"/>
          <w:numId w:val="2"/>
        </w:numPr>
        <w:spacing w:before="40" w:after="60"/>
      </w:pPr>
      <w:r>
        <w:rPr>
          <w:rFonts w:ascii="Arial" w:cs="Arial" w:eastAsia="Arial" w:hAnsi="Arial"/>
          <w:sz w:val="22"/>
          <w:szCs w:val="22"/>
        </w:rPr>
        <w:t xml:space="preserve">Think and Work Holistically — No service or practice exists in isolation; consider the whole system</w:t>
      </w:r>
    </w:p>
    <w:p>
      <w:pPr>
        <w:pStyle w:val="ListParagraph"/>
        <w:numPr>
          <w:ilvl w:val="0"/>
          <w:numId w:val="2"/>
        </w:numPr>
        <w:spacing w:before="40" w:after="60"/>
      </w:pPr>
      <w:r>
        <w:rPr>
          <w:rFonts w:ascii="Arial" w:cs="Arial" w:eastAsia="Arial" w:hAnsi="Arial"/>
          <w:sz w:val="22"/>
          <w:szCs w:val="22"/>
        </w:rPr>
        <w:t xml:space="preserve">Keep It Simple and Practical — Eliminate anything that does not produce value; use minimum steps</w:t>
      </w:r>
    </w:p>
    <w:p>
      <w:pPr>
        <w:pStyle w:val="ListParagraph"/>
        <w:numPr>
          <w:ilvl w:val="0"/>
          <w:numId w:val="2"/>
        </w:numPr>
        <w:spacing w:before="40" w:after="60"/>
      </w:pPr>
      <w:r>
        <w:rPr>
          <w:rFonts w:ascii="Arial" w:cs="Arial" w:eastAsia="Arial" w:hAnsi="Arial"/>
          <w:sz w:val="22"/>
          <w:szCs w:val="22"/>
        </w:rPr>
        <w:t xml:space="preserve">Optimize and Automate — Maximize resource efficiency by automating wherever possible</w:t>
      </w:r>
    </w:p>
    <w:p>
      <w:r>
        <w:br w:type="page"/>
      </w:r>
    </w:p>
    <w:p>
      <w:pPr>
        <w:pStyle w:val="Heading1"/>
        <w:spacing w:before="360" w:after="200"/>
      </w:pPr>
      <w:r>
        <w:rPr>
          <w:rFonts w:ascii="Arial" w:cs="Arial" w:eastAsia="Arial" w:hAnsi="Arial"/>
          <w:b/>
          <w:bCs/>
          <w:sz w:val="36"/>
          <w:szCs w:val="36"/>
        </w:rPr>
        <w:t xml:space="preserve">Chapter 4: The 34 ITIL 4 Management Practices</w:t>
      </w:r>
    </w:p>
    <w:p>
      <w:pPr>
        <w:pBdr>
          <w:bottom w:val="single" w:color="2E75B6" w:sz="6" w:space="1"/>
        </w:pBdr>
        <w:spacing w:before="160" w:after="160"/>
      </w:pPr>
      <w:r>
        <w:t xml:space="preserve"/>
      </w:r>
    </w:p>
    <w:p>
      <w:pPr>
        <w:spacing w:before="80" w:after="120"/>
        <w:jc w:val="both"/>
      </w:pPr>
      <w:r>
        <w:rPr>
          <w:rFonts w:ascii="Arial" w:cs="Arial" w:eastAsia="Arial" w:hAnsi="Arial"/>
          <w:sz w:val="22"/>
          <w:szCs w:val="22"/>
        </w:rPr>
        <w:t xml:space="preserve">The 34 management practices are the operational heartbeat of ITIL 4. They replace the processes and functions of earlier ITIL versions, incorporating a broader view that includes resources, roles, technology, and capabilities — not just procedures. They are organized into three categories.</w:t>
      </w:r>
    </w:p>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General Management (14)</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Service Management (17)</w:t>
            </w:r>
          </w:p>
        </w:tc>
        <w:tc>
          <w:tcPr>
            <w:tcW w:type="dxa" w:w="3120"/>
            <w:tcBorders>
              <w:top w:val="single" w:color="CCCCCC" w:sz="1"/>
              <w:left w:val="single" w:color="CCCCCC" w:sz="1"/>
              <w:bottom w:val="single" w:color="CCCCCC" w:sz="1"/>
              <w:right w:val="single" w:color="CCCCCC" w:sz="1"/>
            </w:tcBorders>
            <w:shd w:fill="1F6B3A"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Technical Management (3)</w:t>
            </w:r>
          </w:p>
        </w:tc>
      </w:tr>
    </w:tbl>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Practice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Architecture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Understands organizational elements and their interrelationships to achieve goals effectively.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Continual Improvement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Aligns practices and services with changing business needs through ongoing improvement cycles.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Information Security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Protects information needed by the organization to conduct its business operations.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Knowledge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Maintains and improves effective use of information and knowledge across the organization.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Measurement and Reporting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Supports decision-making and improvement by decreasing uncertainty through data-driven insights.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Organizational Change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Ensures organizational changes are smoothly and successfully implemented across the enterprise.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Portfolio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Ensures the right mix of programs, projects, products, and services to achieve objectives.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Ensures all projects in the organization are delivered successfully on time and budget.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Establishes and nurtures links between the organization and its stakeholders at all levels.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Ensures risks are properly understood, assessed, and handled to acceptable levels.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Financial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Supports strategies by ensuring financial resources and investments are used effectively.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Strategy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Formulates goals and adopts courses of action and allocation of resources to deliver value.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Supplier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Manages suppliers and their performance to support seamless quality products and services.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Workforce and Talent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Ensures the right people with appropriate skills are in the right roles across the organization.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Availability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Ensures services deliver agreed levels of availability to meet current and future business needs.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Business Analysis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Analyzes a business or element of it to define needs and recommend solutions for stakeholders.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Capacity and Performance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Ensures services achieve agreed performance, satisfying current and future demand cost-effectively.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Change Enablement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Maximizes successful changes by ensuring risks are properly assessed, authorized, and managed.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Incident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Minimizes negative impact of incidents by restoring normal service operation as quickly as possible.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IT Asset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Plans and manages the full lifecycle of all IT assets to maximize value and minimize risk.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Monitoring and Event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Observes services and components systematically, recording and reporting changes of state.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Problem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Reduces likelihood and impact of incidents by identifying and managing actual and potential causes.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Release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Makes new and changed services and features available for use in agreed environments.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Catalog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Provides a single source of consistent information on all services and service offerings.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Configuration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Ensures accurate, reliable information about configuration of services and CIs is available.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Continuity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Maintains service availability and performance at sufficient levels in the event of a disaster.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Designs products and services that are fit for purpose, fit for use, and can be delivered.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Desk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Captures demand for incident resolution and requests; single point of contact for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Level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Sets clear business-based targets for service performance, ensuring delivery is properly assessed.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Request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Handles all predefined, user-initiated service requests to support agreed quality of service.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Validation and 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Ensures new or changed products and services meet defined requirements before deployment.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Deployment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Technical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Moves new or changed components to live environments in a controlled and reliable manner.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Infrastructure and Platform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Technical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Oversees the infrastructure and platforms used by an organization, enabling monitoring of solutions.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Software Development and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Technical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Ensures applications meet stakeholder needs in functionality, reliability, and maintainability.</w:t>
            </w:r>
          </w:p>
        </w:tc>
      </w:tr>
    </w:tbl>
    <w:p>
      <w:r>
        <w:br w:type="page"/>
      </w:r>
    </w:p>
    <w:p>
      <w:pPr>
        <w:pStyle w:val="Heading1"/>
        <w:spacing w:before="360" w:after="200"/>
      </w:pPr>
      <w:r>
        <w:rPr>
          <w:rFonts w:ascii="Arial" w:cs="Arial" w:eastAsia="Arial" w:hAnsi="Arial"/>
          <w:b/>
          <w:bCs/>
          <w:sz w:val="36"/>
          <w:szCs w:val="36"/>
        </w:rPr>
        <w:t xml:space="preserve">Chapter 5: The Three Categories Explained</w:t>
      </w:r>
    </w:p>
    <w:p>
      <w:pPr>
        <w:pBdr>
          <w:bottom w:val="single" w:color="2E75B6" w:sz="6" w:space="1"/>
        </w:pBdr>
        <w:spacing w:before="160" w:after="160"/>
      </w:pPr>
      <w:r>
        <w:t xml:space="preserve"/>
      </w:r>
    </w:p>
    <w:p>
      <w:pPr>
        <w:pStyle w:val="Heading2"/>
        <w:spacing w:before="280" w:after="140"/>
      </w:pPr>
      <w:r>
        <w:rPr>
          <w:rFonts w:ascii="Arial" w:cs="Arial" w:eastAsia="Arial" w:hAnsi="Arial"/>
          <w:b/>
          <w:bCs/>
          <w:color w:val="1F4E79"/>
          <w:sz w:val="28"/>
          <w:szCs w:val="28"/>
        </w:rPr>
        <w:t xml:space="preserve">General Management Practices</w:t>
      </w:r>
    </w:p>
    <w:p>
      <w:pPr>
        <w:spacing w:before="80" w:after="120"/>
        <w:jc w:val="both"/>
      </w:pPr>
      <w:r>
        <w:rPr>
          <w:rFonts w:ascii="Arial" w:cs="Arial" w:eastAsia="Arial" w:hAnsi="Arial"/>
          <w:sz w:val="22"/>
          <w:szCs w:val="22"/>
        </w:rPr>
        <w:t xml:space="preserve">The 14 General Management Practices are not born from IT. They are adapted from broader business management disciplines and applied to the specific context of IT service management. Their universality is their power. A practice like Risk Management or Organizational Change Management is as relevant to a finance department as it is to an IT operations team. By anchoring these practices in the ITIL framework, ITIL 4 acknowledges that IT organizations do not operate in a vacuum — they are embedded in larger organizational systems and must speak the same language as the rest of the business.</w:t>
      </w:r>
    </w:p>
    <w:p>
      <w:pPr>
        <w:spacing w:before="80" w:after="120"/>
        <w:jc w:val="both"/>
      </w:pPr>
      <w:r>
        <w:rPr>
          <w:rFonts w:ascii="Arial" w:cs="Arial" w:eastAsia="Arial" w:hAnsi="Arial"/>
          <w:sz w:val="22"/>
          <w:szCs w:val="22"/>
        </w:rPr>
        <w:t xml:space="preserve">Of particular significance is the Workforce and Talent Management practice, which reflects ITIL 4's recognition that technology alone does not deliver services — people do. Organizations that neglect culture, skills development, and workforce planning will find even the most sophisticated technical infrastructure failing to deliver value.</w:t>
      </w:r>
    </w:p>
    <w:p>
      <w:pPr>
        <w:pStyle w:val="Heading2"/>
        <w:spacing w:before="280" w:after="140"/>
      </w:pPr>
      <w:r>
        <w:rPr>
          <w:rFonts w:ascii="Arial" w:cs="Arial" w:eastAsia="Arial" w:hAnsi="Arial"/>
          <w:b/>
          <w:bCs/>
          <w:color w:val="1F4E79"/>
          <w:sz w:val="28"/>
          <w:szCs w:val="28"/>
        </w:rPr>
        <w:t xml:space="preserve">Service Management Practices</w:t>
      </w:r>
    </w:p>
    <w:p>
      <w:pPr>
        <w:spacing w:before="80" w:after="120"/>
        <w:jc w:val="both"/>
      </w:pPr>
      <w:r>
        <w:rPr>
          <w:rFonts w:ascii="Arial" w:cs="Arial" w:eastAsia="Arial" w:hAnsi="Arial"/>
          <w:sz w:val="22"/>
          <w:szCs w:val="22"/>
        </w:rPr>
        <w:t xml:space="preserve">The 17 Service Management Practices form the operational core of ITIL 4. These are the practices most familiar to experienced ITIL practitioners — Incident Management, Problem Management, Change Enablement, and the Service Desk have been cornerstones of IT service management for decades. But ITIL 4 reshapes them significantly.</w:t>
      </w:r>
    </w:p>
    <w:p>
      <w:pPr>
        <w:spacing w:before="80" w:after="120"/>
        <w:jc w:val="both"/>
      </w:pPr>
      <w:r>
        <w:rPr>
          <w:rFonts w:ascii="Arial" w:cs="Arial" w:eastAsia="Arial" w:hAnsi="Arial"/>
          <w:sz w:val="22"/>
          <w:szCs w:val="22"/>
        </w:rPr>
        <w:t xml:space="preserve">Change Management, for example, has been renamed Change Enablement — a subtle but meaningful shift. The old framing suggested that change needed to be controlled, constrained, managed with an iron fist. The new framing acknowledges that change is essential for delivering value, and the practice's role is to enable change to happen safely and effectively, not to act as a bureaucratic gatekeeper.</w:t>
      </w:r>
    </w:p>
    <w:p>
      <w:pPr>
        <w:spacing w:before="80" w:after="120"/>
        <w:jc w:val="both"/>
      </w:pPr>
      <w:r>
        <w:rPr>
          <w:rFonts w:ascii="Arial" w:cs="Arial" w:eastAsia="Arial" w:hAnsi="Arial"/>
          <w:sz w:val="22"/>
          <w:szCs w:val="22"/>
        </w:rPr>
        <w:t xml:space="preserve">Similarly, the Service Desk practice has been elevated from a function to a practice, reflecting its strategic importance as the primary human touchpoint between the IT organization and its users. In an age of chatbots and AI-driven support tools, the Service Desk practice encompasses not just the human agents but the entire ecosystem of channels, tools, and capabilities through which users receive support.</w:t>
      </w:r>
    </w:p>
    <w:p>
      <w:pPr>
        <w:pStyle w:val="Heading2"/>
        <w:spacing w:before="280" w:after="140"/>
      </w:pPr>
      <w:r>
        <w:rPr>
          <w:rFonts w:ascii="Arial" w:cs="Arial" w:eastAsia="Arial" w:hAnsi="Arial"/>
          <w:b/>
          <w:bCs/>
          <w:color w:val="1F4E79"/>
          <w:sz w:val="28"/>
          <w:szCs w:val="28"/>
        </w:rPr>
        <w:t xml:space="preserve">Technical Management Practices</w:t>
      </w:r>
    </w:p>
    <w:p>
      <w:pPr>
        <w:spacing w:before="80" w:after="120"/>
        <w:jc w:val="both"/>
      </w:pPr>
      <w:r>
        <w:rPr>
          <w:rFonts w:ascii="Arial" w:cs="Arial" w:eastAsia="Arial" w:hAnsi="Arial"/>
          <w:sz w:val="22"/>
          <w:szCs w:val="22"/>
        </w:rPr>
        <w:t xml:space="preserve">The three Technical Management Practices — Deployment Management, Infrastructure and Platform Management, and Software Development and Management — represent ITIL 4's most significant evolution from its earlier versions. Where ITIL v3 largely treated technical activities as background noise to the service management foreground, ITIL 4 elevates them to first-class practices.</w:t>
      </w:r>
    </w:p>
    <w:p>
      <w:pPr>
        <w:spacing w:before="80" w:after="120"/>
        <w:jc w:val="both"/>
      </w:pPr>
      <w:r>
        <w:rPr>
          <w:rFonts w:ascii="Arial" w:cs="Arial" w:eastAsia="Arial" w:hAnsi="Arial"/>
          <w:sz w:val="22"/>
          <w:szCs w:val="22"/>
        </w:rPr>
        <w:t xml:space="preserve">This elevation reflects the reality of modern IT operations, where infrastructure is code, deployments happen dozens of times a day, and the boundary between development and operations has all but disappeared in many organizations. The inclusion of Software Development and Management as a practice is particularly forward-looking — acknowledging that the organizations delivering IT services in the 21st century are as much software companies as they are service organizations.</w:t>
      </w:r>
    </w:p>
    <w:p>
      <w:r>
        <w:br w:type="page"/>
      </w:r>
    </w:p>
    <w:p>
      <w:pPr>
        <w:pStyle w:val="Heading1"/>
        <w:spacing w:before="360" w:after="200"/>
      </w:pPr>
      <w:r>
        <w:rPr>
          <w:rFonts w:ascii="Arial" w:cs="Arial" w:eastAsia="Arial" w:hAnsi="Arial"/>
          <w:b/>
          <w:bCs/>
          <w:sz w:val="36"/>
          <w:szCs w:val="36"/>
        </w:rPr>
        <w:t xml:space="preserve">Chapter 6: Global Impact and Legacy</w:t>
      </w:r>
    </w:p>
    <w:p>
      <w:pPr>
        <w:pBdr>
          <w:bottom w:val="single" w:color="2E75B6" w:sz="6" w:space="1"/>
        </w:pBdr>
        <w:spacing w:before="160" w:after="160"/>
      </w:pPr>
      <w:r>
        <w:t xml:space="preserve"/>
      </w:r>
    </w:p>
    <w:p>
      <w:pPr>
        <w:spacing w:before="80" w:after="120"/>
        <w:jc w:val="both"/>
      </w:pPr>
      <w:r>
        <w:rPr>
          <w:rFonts w:ascii="Arial" w:cs="Arial" w:eastAsia="Arial" w:hAnsi="Arial"/>
          <w:sz w:val="22"/>
          <w:szCs w:val="22"/>
        </w:rPr>
        <w:t xml:space="preserve">The numbers tell part of the story. As of the mid-2020s, ITIL certifications have been awarded to millions of professionals in over 150 countries. It is the most widely adopted IT service management framework in the world. Virtually every major corporation, government agency, and technology provider on the planet has been touched by ITIL in some form.</w:t>
      </w:r>
    </w:p>
    <w:p>
      <w:pPr>
        <w:spacing w:before="80" w:after="120"/>
        <w:jc w:val="both"/>
      </w:pPr>
      <w:r>
        <w:rPr>
          <w:rFonts w:ascii="Arial" w:cs="Arial" w:eastAsia="Arial" w:hAnsi="Arial"/>
          <w:sz w:val="22"/>
          <w:szCs w:val="22"/>
        </w:rPr>
        <w:t xml:space="preserve">But the true legacy of ITIL runs deeper than certification counts. It established a shared vocabulary for IT service management that transcended organizational and national boundaries. For the first time, an IT manager in Singapore and a service desk analyst in Stockholm could discuss incident escalation paths and change advisory boards using the same conceptual language. This lingua franca of IT management accelerated the globalization of IT services and enabled the outsourcing and offshoring models that came to define the industry in the 2000s and 2010s.</w:t>
      </w:r>
    </w:p>
    <w:p>
      <w:pPr>
        <w:spacing w:before="80" w:after="120"/>
        <w:jc w:val="both"/>
      </w:pPr>
      <w:r>
        <w:rPr>
          <w:rFonts w:ascii="Arial" w:cs="Arial" w:eastAsia="Arial" w:hAnsi="Arial"/>
          <w:sz w:val="22"/>
          <w:szCs w:val="22"/>
        </w:rPr>
        <w:t xml:space="preserve">ITIL also played a crucial role in legitimizing IT as a strategic business function rather than a back-office utility. By providing a framework for measuring service quality, managing costs, and demonstrating value, ITIL gave CIOs and IT leaders the tools to articulate their contribution to the board in business terms.</w:t>
      </w:r>
    </w:p>
    <w:p>
      <w:pPr>
        <w:pStyle w:val="Heading2"/>
        <w:spacing w:before="280" w:after="140"/>
      </w:pPr>
      <w:r>
        <w:rPr>
          <w:rFonts w:ascii="Arial" w:cs="Arial" w:eastAsia="Arial" w:hAnsi="Arial"/>
          <w:b/>
          <w:bCs/>
          <w:color w:val="1F4E79"/>
          <w:sz w:val="28"/>
          <w:szCs w:val="28"/>
        </w:rPr>
        <w:t xml:space="preserve">Criticisms and Controversies</w:t>
      </w:r>
    </w:p>
    <w:p>
      <w:pPr>
        <w:spacing w:before="80" w:after="120"/>
        <w:jc w:val="both"/>
      </w:pPr>
      <w:r>
        <w:rPr>
          <w:rFonts w:ascii="Arial" w:cs="Arial" w:eastAsia="Arial" w:hAnsi="Arial"/>
          <w:sz w:val="22"/>
          <w:szCs w:val="22"/>
        </w:rPr>
        <w:t xml:space="preserve">No framework of ITIL's scale escapes criticism. The most persistent complaint has been around bureaucracy — particularly directed at ITIL v3, where some organizations implemented the framework so rigidly that change approval processes could take weeks and incident response was strangled in procedural red tape. Critics coined the phrase 'ITIL Theatre' to describe organizations that built elaborate processes without questioning whether they were delivering value.</w:t>
      </w:r>
    </w:p>
    <w:p>
      <w:pPr>
        <w:spacing w:before="80" w:after="120"/>
        <w:jc w:val="both"/>
      </w:pPr>
      <w:r>
        <w:rPr>
          <w:rFonts w:ascii="Arial" w:cs="Arial" w:eastAsia="Arial" w:hAnsi="Arial"/>
          <w:sz w:val="22"/>
          <w:szCs w:val="22"/>
        </w:rPr>
        <w:t xml:space="preserve">ITIL 4's response to this criticism was the guiding principle of 'Keep It Simple and Practical.' The new framework explicitly cautions against over-engineering and encourages organizations to implement only what is needed, tailored to their specific context.</w:t>
      </w:r>
    </w:p>
    <w:p>
      <w:pPr>
        <w:pStyle w:val="Heading2"/>
        <w:spacing w:before="280" w:after="140"/>
      </w:pPr>
      <w:r>
        <w:rPr>
          <w:rFonts w:ascii="Arial" w:cs="Arial" w:eastAsia="Arial" w:hAnsi="Arial"/>
          <w:b/>
          <w:bCs/>
          <w:color w:val="1F4E79"/>
          <w:sz w:val="28"/>
          <w:szCs w:val="28"/>
        </w:rPr>
        <w:t xml:space="preserve">The Relationship with DevOps and Agile</w:t>
      </w:r>
    </w:p>
    <w:p>
      <w:pPr>
        <w:spacing w:before="80" w:after="120"/>
        <w:jc w:val="both"/>
      </w:pPr>
      <w:r>
        <w:rPr>
          <w:rFonts w:ascii="Arial" w:cs="Arial" w:eastAsia="Arial" w:hAnsi="Arial"/>
          <w:sz w:val="22"/>
          <w:szCs w:val="22"/>
        </w:rPr>
        <w:t xml:space="preserve">Perhaps the most important strategic decision in ITIL 4's design was its embrace of DevOps and Agile. Rather than positioning itself as a competing framework, ITIL 4 was architected to be complementary. The Service Value Chain's flexibility allows it to incorporate Agile sprints and DevOps pipelines naturally. The guiding principle of 'Progress Iteratively with Feedback' speaks directly to the Agile manifesto's values.</w:t>
      </w:r>
    </w:p>
    <w:p>
      <w:pPr>
        <w:spacing w:before="80" w:after="120"/>
        <w:jc w:val="both"/>
      </w:pPr>
      <w:r>
        <w:rPr>
          <w:rFonts w:ascii="Arial" w:cs="Arial" w:eastAsia="Arial" w:hAnsi="Arial"/>
          <w:sz w:val="22"/>
          <w:szCs w:val="22"/>
        </w:rPr>
        <w:t xml:space="preserve">This integration philosophy was not just politically astute — it was necessary for survival. In organizations that had adopted DevOps, ITIL v3 had started to feel like an artifact of a different era. ITIL 4 positioned itself as the governance and management framework that could provide structure and strategic coherence to the speed and flexibility of DevOps, rather than opposing it.</w:t>
      </w:r>
    </w:p>
    <w:p>
      <w:r>
        <w:br w:type="page"/>
      </w:r>
    </w:p>
    <w:p>
      <w:pPr>
        <w:pStyle w:val="Heading1"/>
        <w:spacing w:before="360" w:after="200"/>
      </w:pPr>
      <w:r>
        <w:rPr>
          <w:rFonts w:ascii="Arial" w:cs="Arial" w:eastAsia="Arial" w:hAnsi="Arial"/>
          <w:b/>
          <w:bCs/>
          <w:sz w:val="36"/>
          <w:szCs w:val="36"/>
        </w:rPr>
        <w:t xml:space="preserve">Chapter 7: The ITIL Certification Scheme</w:t>
      </w:r>
    </w:p>
    <w:p>
      <w:pPr>
        <w:pBdr>
          <w:bottom w:val="single" w:color="2E75B6" w:sz="6" w:space="1"/>
        </w:pBdr>
        <w:spacing w:before="160" w:after="160"/>
      </w:pPr>
      <w:r>
        <w:t xml:space="preserve"/>
      </w:r>
    </w:p>
    <w:p>
      <w:pPr>
        <w:spacing w:before="80" w:after="120"/>
        <w:jc w:val="both"/>
      </w:pPr>
      <w:r>
        <w:rPr>
          <w:rFonts w:ascii="Arial" w:cs="Arial" w:eastAsia="Arial" w:hAnsi="Arial"/>
          <w:sz w:val="22"/>
          <w:szCs w:val="22"/>
        </w:rPr>
        <w:t xml:space="preserve">ITIL 4 offers a structured certification pathway designed to take practitioners from foundational awareness to strategic leadership. Administered by PeopleCert on behalf of AXELOS, the scheme is globally recognized and provides a clear professional development roadmap.</w:t>
      </w:r>
    </w:p>
    <w:p>
      <w:pPr>
        <w:pStyle w:val="Heading2"/>
        <w:spacing w:before="280" w:after="140"/>
      </w:pPr>
      <w:r>
        <w:rPr>
          <w:rFonts w:ascii="Arial" w:cs="Arial" w:eastAsia="Arial" w:hAnsi="Arial"/>
          <w:b/>
          <w:bCs/>
          <w:color w:val="1F4E79"/>
          <w:sz w:val="28"/>
          <w:szCs w:val="28"/>
        </w:rPr>
        <w:t xml:space="preserve">ITIL 4 Foundation</w:t>
      </w:r>
    </w:p>
    <w:p>
      <w:pPr>
        <w:spacing w:before="80" w:after="120"/>
        <w:jc w:val="both"/>
      </w:pPr>
      <w:r>
        <w:rPr>
          <w:rFonts w:ascii="Arial" w:cs="Arial" w:eastAsia="Arial" w:hAnsi="Arial"/>
          <w:sz w:val="22"/>
          <w:szCs w:val="22"/>
        </w:rPr>
        <w:t xml:space="preserve">The entry point to the ITIL 4 qualification scheme. Foundation provides an overview of the framework, its guiding principles, core models, and fundamental concepts. It is designed for anyone working in or around IT service management and serves as the prerequisite for all higher-level certifications.</w:t>
      </w:r>
    </w:p>
    <w:p>
      <w:pPr>
        <w:pStyle w:val="Heading2"/>
        <w:spacing w:before="280" w:after="140"/>
      </w:pPr>
      <w:r>
        <w:rPr>
          <w:rFonts w:ascii="Arial" w:cs="Arial" w:eastAsia="Arial" w:hAnsi="Arial"/>
          <w:b/>
          <w:bCs/>
          <w:color w:val="1F4E79"/>
          <w:sz w:val="28"/>
          <w:szCs w:val="28"/>
        </w:rPr>
        <w:t xml:space="preserve">ITIL 4 Managing Professional (MP)</w:t>
      </w:r>
    </w:p>
    <w:p>
      <w:pPr>
        <w:spacing w:before="80" w:after="120"/>
        <w:jc w:val="both"/>
      </w:pPr>
      <w:r>
        <w:rPr>
          <w:rFonts w:ascii="Arial" w:cs="Arial" w:eastAsia="Arial" w:hAnsi="Arial"/>
          <w:sz w:val="22"/>
          <w:szCs w:val="22"/>
        </w:rPr>
        <w:t xml:space="preserve">The Managing Professional stream targets IT practitioners who work with technology and digitally-enabled services. It comprises four modules: Create, Deliver and Support; Drive Stakeholder Value; High Velocity IT; and Direct, Plan and Improve. Completing all four plus Foundation earns the ITIL 4 Managing Professional designation.</w:t>
      </w:r>
    </w:p>
    <w:p>
      <w:pPr>
        <w:pStyle w:val="Heading2"/>
        <w:spacing w:before="280" w:after="140"/>
      </w:pPr>
      <w:r>
        <w:rPr>
          <w:rFonts w:ascii="Arial" w:cs="Arial" w:eastAsia="Arial" w:hAnsi="Arial"/>
          <w:b/>
          <w:bCs/>
          <w:color w:val="1F4E79"/>
          <w:sz w:val="28"/>
          <w:szCs w:val="28"/>
        </w:rPr>
        <w:t xml:space="preserve">ITIL 4 Strategic Leader (SL)</w:t>
      </w:r>
    </w:p>
    <w:p>
      <w:pPr>
        <w:spacing w:before="80" w:after="120"/>
        <w:jc w:val="both"/>
      </w:pPr>
      <w:r>
        <w:rPr>
          <w:rFonts w:ascii="Arial" w:cs="Arial" w:eastAsia="Arial" w:hAnsi="Arial"/>
          <w:sz w:val="22"/>
          <w:szCs w:val="22"/>
        </w:rPr>
        <w:t xml:space="preserve">The Strategic Leader stream is aimed at professionals who influence the direction of their organization through IT. It comprises two modules: Digital and IT Strategy; and Direct, Plan and Improve (shared with the MP stream). It recognizes that digital technology is not just about IT — it drives and shapes business strategy.</w:t>
      </w:r>
    </w:p>
    <w:p>
      <w:pPr>
        <w:pStyle w:val="Heading2"/>
        <w:spacing w:before="280" w:after="140"/>
      </w:pPr>
      <w:r>
        <w:rPr>
          <w:rFonts w:ascii="Arial" w:cs="Arial" w:eastAsia="Arial" w:hAnsi="Arial"/>
          <w:b/>
          <w:bCs/>
          <w:color w:val="1F4E79"/>
          <w:sz w:val="28"/>
          <w:szCs w:val="28"/>
        </w:rPr>
        <w:t xml:space="preserve">ITIL Master</w:t>
      </w:r>
    </w:p>
    <w:p>
      <w:pPr>
        <w:spacing w:before="80" w:after="120"/>
        <w:jc w:val="both"/>
      </w:pPr>
      <w:r>
        <w:rPr>
          <w:rFonts w:ascii="Arial" w:cs="Arial" w:eastAsia="Arial" w:hAnsi="Arial"/>
          <w:sz w:val="22"/>
          <w:szCs w:val="22"/>
        </w:rPr>
        <w:t xml:space="preserve">The apex of the ITIL certification scheme. The ITIL Master designation requires candidates to demonstrate that they can apply ITIL principles, methods, and techniques in the workplace to achieve desired business outcomes. It involves a formal assessment of real-world application and is awarded to only a small number of practitioners globally.</w:t>
      </w:r>
    </w:p>
    <w:p>
      <w:r>
        <w:br w:type="page"/>
      </w:r>
    </w:p>
    <w:p>
      <w:pPr>
        <w:pStyle w:val="Heading1"/>
        <w:spacing w:before="360" w:after="200"/>
      </w:pPr>
      <w:r>
        <w:rPr>
          <w:rFonts w:ascii="Arial" w:cs="Arial" w:eastAsia="Arial" w:hAnsi="Arial"/>
          <w:b/>
          <w:bCs/>
          <w:sz w:val="36"/>
          <w:szCs w:val="36"/>
        </w:rPr>
        <w:t xml:space="preserve">Conclusion: The Framework That Shaped Modern IT</w:t>
      </w:r>
    </w:p>
    <w:p>
      <w:pPr>
        <w:pBdr>
          <w:bottom w:val="single" w:color="2E75B6" w:sz="6" w:space="1"/>
        </w:pBdr>
        <w:spacing w:before="160" w:after="160"/>
      </w:pPr>
      <w:r>
        <w:t xml:space="preserve"/>
      </w:r>
    </w:p>
    <w:p>
      <w:pPr>
        <w:spacing w:before="80" w:after="120"/>
        <w:jc w:val="both"/>
      </w:pPr>
      <w:r>
        <w:rPr>
          <w:rFonts w:ascii="Arial" w:cs="Arial" w:eastAsia="Arial" w:hAnsi="Arial"/>
          <w:sz w:val="22"/>
          <w:szCs w:val="22"/>
        </w:rPr>
        <w:t xml:space="preserve">From a set of government binders produced in 1980s Britain to a globally adopted framework shaping the IT operations of millions of organizations, ITIL's journey is a remarkable story of practical wisdom finding its moment.</w:t>
      </w:r>
    </w:p>
    <w:p>
      <w:pPr>
        <w:spacing w:before="80" w:after="120"/>
        <w:jc w:val="both"/>
      </w:pPr>
      <w:r>
        <w:rPr>
          <w:rFonts w:ascii="Arial" w:cs="Arial" w:eastAsia="Arial" w:hAnsi="Arial"/>
          <w:sz w:val="22"/>
          <w:szCs w:val="22"/>
        </w:rPr>
        <w:t xml:space="preserve">What began as a response to inefficiency in the UK public sector became the foundational language of a profession. ITIL did not invent IT service management — organizations had been managing IT services long before the CCTA convened its working groups. But ITIL gave that management discipline a vocabulary, a structure, and a set of principles that could be shared, taught, debated, and refined across the entire global IT community.</w:t>
      </w:r>
    </w:p>
    <w:p>
      <w:pPr>
        <w:spacing w:before="80" w:after="120"/>
        <w:jc w:val="both"/>
      </w:pPr>
      <w:r>
        <w:rPr>
          <w:rFonts w:ascii="Arial" w:cs="Arial" w:eastAsia="Arial" w:hAnsi="Arial"/>
          <w:sz w:val="22"/>
          <w:szCs w:val="22"/>
        </w:rPr>
        <w:t xml:space="preserve">ITIL 4 represents the framework's most ambitious evolution — a genuine reinvention rather than a simple update. By integrating value-stream thinking, embracing Agile and DevOps, centering the customer experience, and expanding its scope to encompass 34 comprehensive management practices, ITIL 4 has positioned itself not merely as a process manual but as a strategic management philosophy for the digital age.</w:t>
      </w:r>
    </w:p>
    <w:p>
      <w:pPr>
        <w:spacing w:before="80" w:after="120"/>
        <w:jc w:val="both"/>
      </w:pPr>
      <w:r>
        <w:rPr>
          <w:rFonts w:ascii="Arial" w:cs="Arial" w:eastAsia="Arial" w:hAnsi="Arial"/>
          <w:sz w:val="22"/>
          <w:szCs w:val="22"/>
        </w:rPr>
        <w:t xml:space="preserve">The 34 practices at its core are not a checklist to be mechanically implemented. They are a toolkit — a comprehensive set of organizational capabilities that, when thoughtfully combined, enable any organization to design, deliver, and continuously improve services that create genuine value for their customers, their partners, and the world.</w:t>
      </w:r>
    </w:p>
    <w:p>
      <w:pPr>
        <w:spacing w:before="80" w:after="120"/>
        <w:jc w:val="both"/>
      </w:pPr>
      <w:r>
        <w:rPr>
          <w:rFonts w:ascii="Arial" w:cs="Arial" w:eastAsia="Arial" w:hAnsi="Arial"/>
          <w:sz w:val="22"/>
          <w:szCs w:val="22"/>
        </w:rPr>
        <w:t xml:space="preserve">The story of ITIL is, in many ways, the story of how the IT profession grew up. From chaotic, ad hoc operations to disciplined, value-driven service management. From IT departments seen as cost centers to technology organizations recognized as strategic business partners. From isolated processes to integrated, holistic practices. ITIL did not write that story alone — but it was there, in one form or another, at every chapter.</w:t>
      </w:r>
    </w:p>
    <w:p>
      <w:pPr>
        <w:pBdr>
          <w:bottom w:val="single" w:color="2E75B6" w:sz="6" w:space="1"/>
        </w:pBdr>
        <w:spacing w:before="160" w:after="160"/>
      </w:pPr>
      <w:r>
        <w:t xml:space="preserve"/>
      </w:r>
    </w:p>
    <w:p>
      <w:pPr>
        <w:spacing w:before="240" w:after="24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200"/>
      <w:jc w:val="center"/>
    </w:pPr>
    <w:r>
      <w:rPr>
        <w:rFonts w:ascii="Arial" w:cs="Arial" w:eastAsia="Arial" w:hAnsi="Arial"/>
        <w:color w:val="888888"/>
        <w:sz w:val="18"/>
        <w:szCs w:val="18"/>
      </w:rPr>
      <w:t xml:space="preserve">© ITIL 4 Reference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200"/>
    </w:pPr>
    <w:r>
      <w:rPr>
        <w:rFonts w:ascii="Arial" w:cs="Arial" w:eastAsia="Arial" w:hAnsi="Arial"/>
        <w:i/>
        <w:iCs/>
        <w:color w:val="5A5A5A"/>
        <w:sz w:val="18"/>
        <w:szCs w:val="18"/>
      </w:rPr>
      <w:t xml:space="preserve">ITIL 4 — The Complete Guide to IT Service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2026-02-26T08:01:30.559Z</dcterms:created>
  <dcterms:modified xsi:type="dcterms:W3CDTF">2026-02-26T08:01:30.560Z</dcterms:modified>
</cp:coreProperties>
</file>

<file path=docProps/custom.xml><?xml version="1.0" encoding="utf-8"?>
<Properties xmlns="http://schemas.openxmlformats.org/officeDocument/2006/custom-properties" xmlns:vt="http://schemas.openxmlformats.org/officeDocument/2006/docPropsVTypes"/>
</file>