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Safety and Environment Inspection Note - Suryagarh Opencast Expansion</w:t>
      </w:r>
    </w:p>
    <w:p>
      <w:r>
        <w:t>Inspection date: 24 August 2026.</w:t>
      </w:r>
    </w:p>
    <w:p>
      <w:r>
        <w:t>Safety observations: Haul road HR-3 requires additional berm dressing near the western ramp. Shovel bench lighting was adequate, and no fatal accident was reported during the month.</w:t>
      </w:r>
    </w:p>
    <w:p>
      <w:r>
        <w:t>Environmental compliance: The mine complied with the fictional consent condition for progressive backfilling and green belt maintenance along the northern lease boundary.</w:t>
      </w:r>
    </w:p>
    <w:p>
      <w:r>
        <w:t>Dust suppression: Fixed sprinklers were functional at crusher point CP-2, but mobile tanker frequency must increase during dry afternoon shifts.</w:t>
      </w:r>
    </w:p>
    <w:p>
      <w:r>
        <w:t>Mine water management: Sump S-2 pumping capacity was increased to 1,400 cubic meters per hour to manage monsoon inflow. Settling pond turbidity remained within the demo compliance threshold.</w:t>
      </w:r>
    </w:p>
    <w:p>
      <w:r>
        <w:t>Risk mitigation: Daily highwall inspection, additional reflective signage, and weekly review of dump slope angle are recommended for September 2026.</w:t>
      </w:r>
    </w:p>
    <w:sectPr/>
  </w:body>
</w:document>
</file>