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801818"/>
          <w:sz w:val="28"/>
        </w:rPr>
        <w:t>SILVER OAK UNIVERSITY, AHMEDABAD</w:t>
        <w:br/>
      </w:r>
      <w:r>
        <w:rPr>
          <w:rFonts w:ascii="Arial" w:hAnsi="Arial"/>
          <w:b/>
          <w:color w:val="64748B"/>
          <w:sz w:val="19"/>
        </w:rPr>
        <w:t>College of Technology • Department of Computer Engineering • NAAC A+</w:t>
        <w:br/>
      </w:r>
      <w:r>
        <w:rPr>
          <w:rFonts w:ascii="Georgia" w:hAnsi="Georgia"/>
          <w:b/>
          <w:color w:val="1E293B"/>
          <w:sz w:val="32"/>
        </w:rPr>
        <w:t>LITERATURE SURVEY REPORT</w:t>
        <w:br/>
      </w:r>
      <w:r>
        <w:rPr>
          <w:rFonts w:ascii="Arial" w:hAnsi="Arial"/>
          <w:i/>
          <w:color w:val="801818"/>
          <w:sz w:val="20"/>
        </w:rPr>
        <w:t>Automated Pitch Diagnostics, Rhetorical Semantic Parsing, and Knowledge-Grounded Venture Assessment Systems</w:t>
      </w:r>
    </w:p>
    <w:tbl>
      <w:tblPr>
        <w:tblW w:type="auto" w:w="0"/>
        <w:jc w:val="center"/>
        <w:tblLayout w:type="fixed"/>
        <w:tblLook w:firstColumn="1" w:firstRow="1" w:lastColumn="0" w:lastRow="0" w:noHBand="0" w:noVBand="1" w:val="04A0"/>
      </w:tblPr>
      <w:tblGrid>
        <w:gridCol w:w="4968"/>
        <w:gridCol w:w="4968"/>
      </w:tblGrid>
      <w:tr>
        <w:tc>
          <w:tcPr>
            <w:tcW w:type="dxa" w:w="4968"/>
            <w:shd w:fill="F8FAFC"/>
            <w:tcMar>
              <w:top w:w="80" w:type="dxa"/>
              <w:bottom w:w="80" w:type="dxa"/>
              <w:left w:w="120" w:type="dxa"/>
              <w:right w:w="120" w:type="dxa"/>
            </w:tcMar>
          </w:tcPr>
          <w:p>
            <w:r>
              <w:rPr>
                <w:rFonts w:ascii="Arial" w:hAnsi="Arial"/>
                <w:sz w:val="17"/>
              </w:rPr>
              <w:t>Project Title: PitchIQ: Case-Grounded Pitch Optimization Engine</w:t>
              <w:br/>
              <w:t>Project ID: M2_CSE_027 (Academic Year 2025–2026)</w:t>
              <w:br/>
              <w:t>Faculty Guide: Prof. Hemali Patel</w:t>
            </w:r>
          </w:p>
        </w:tc>
        <w:tc>
          <w:tcPr>
            <w:tcW w:type="dxa" w:w="4968"/>
            <w:shd w:fill="F8FAFC"/>
            <w:tcMar>
              <w:top w:w="80" w:type="dxa"/>
              <w:bottom w:w="80" w:type="dxa"/>
              <w:left w:w="120" w:type="dxa"/>
              <w:right w:w="120" w:type="dxa"/>
            </w:tcMar>
          </w:tcPr>
          <w:p>
            <w:r>
              <w:rPr>
                <w:rFonts w:ascii="Arial" w:hAnsi="Arial"/>
                <w:sz w:val="17"/>
              </w:rPr>
              <w:t>Project Contributors:</w:t>
              <w:br/>
              <w:t>• Parth Bavalliya (2402031830036) — Lead Architecture &amp; Engine</w:t>
              <w:br/>
              <w:t>• Harsh Varatiya (2402031830026) — Deal Corpus &amp; Matching</w:t>
              <w:br/>
              <w:t>• Akshat Solanki (2402031830015) — Personas &amp; CI/CD Deployment</w:t>
            </w:r>
          </w:p>
        </w:tc>
      </w:tr>
      <w:tr>
        <w:tc>
          <w:tcPr>
            <w:tcW w:type="dxa" w:w="4968"/>
            <w:shd w:fill="F8FAFC"/>
            <w:tcMar>
              <w:top w:w="80" w:type="dxa"/>
              <w:bottom w:w="80" w:type="dxa"/>
              <w:left w:w="120" w:type="dxa"/>
              <w:right w:w="120" w:type="dxa"/>
            </w:tcMar>
          </w:tcPr>
          <w:p>
            <w:r>
              <w:rPr>
                <w:rFonts w:ascii="Arial" w:hAnsi="Arial"/>
                <w:sz w:val="17"/>
              </w:rPr>
              <w:t>Live Platform: https://pitchiq-chi.vercel.app</w:t>
            </w:r>
          </w:p>
        </w:tc>
        <w:tc>
          <w:tcPr>
            <w:tcW w:type="dxa" w:w="4968"/>
            <w:shd w:fill="F8FAFC"/>
            <w:tcMar>
              <w:top w:w="80" w:type="dxa"/>
              <w:bottom w:w="80" w:type="dxa"/>
              <w:left w:w="120" w:type="dxa"/>
              <w:right w:w="120" w:type="dxa"/>
            </w:tcMar>
          </w:tcPr>
          <w:p>
            <w:r>
              <w:rPr>
                <w:rFonts w:ascii="Arial" w:hAnsi="Arial"/>
                <w:sz w:val="17"/>
              </w:rPr>
              <w:t>Source Code Repository: https://github.com/PARTHBAVALIYA/pitchiq</w:t>
            </w:r>
          </w:p>
        </w:tc>
      </w:tr>
    </w:tbl>
    <w:p/>
    <w:p>
      <w:pPr>
        <w:spacing w:before="280" w:after="80"/>
      </w:pPr>
      <w:r>
        <w:rPr>
          <w:rFonts w:ascii="Georgia" w:hAnsi="Georgia"/>
          <w:b/>
          <w:color w:val="801818"/>
          <w:sz w:val="24"/>
        </w:rPr>
        <w:t>1. Executive Summary &amp; Problem Formulation</w:t>
      </w:r>
    </w:p>
    <w:p>
      <w:pPr>
        <w:spacing w:after="120"/>
        <w:ind w:firstLine="360"/>
        <w:jc w:val="both"/>
      </w:pPr>
      <w:r>
        <w:rPr>
          <w:rFonts w:ascii="Times New Roman" w:hAnsi="Times New Roman"/>
          <w:color w:val="1E293B"/>
          <w:sz w:val="20"/>
        </w:rPr>
        <w:t>In contemporary entrepreneurial ecosystems, venture capital fundraising, competitive sales enablement, and engineering capstone defenses, the ability to deliver a succinct, persuasive, and quantitatively verified 'elevator pitch' is a decisive determinant of commercial survival. Empirical behavioral finance and cognitive psychology studies demonstrate that venture capitalists, angel investors, and enterprise executives formulate durable qualitative judgments within the initial 15 to 30 seconds of an oral or written pitch [1]. Deficiencies such as verbose opening hooks, ambiguous problem-solution framing, absence of verifiable unit economics (gross margins, CAC/LTV), and weak or missing Calls-to-Action (CTAs) account for the early rejection of over 72% of seed-stage venture submissions.</w:t>
      </w:r>
    </w:p>
    <w:p>
      <w:pPr>
        <w:spacing w:after="120"/>
        <w:ind w:firstLine="360"/>
        <w:jc w:val="both"/>
      </w:pPr>
      <w:r>
        <w:rPr>
          <w:rFonts w:ascii="Times New Roman" w:hAnsi="Times New Roman"/>
          <w:color w:val="1E293B"/>
          <w:sz w:val="20"/>
        </w:rPr>
        <w:t>Despite the acute necessity of pitch proficiency, current educational and commercial remediation tools remain polarized between expensive human executive coaching ($250–$500/hr), acoustic speech coaching software that remains completely content-blind (e.g., Yoodli, Speeko), and conversational Large Language Models (LLMs) that suffer from sycophancy, score fluctuations (±18 points), high cloud latency (3–8s), and intellectual property privacy risks.</w:t>
      </w:r>
    </w:p>
    <w:p>
      <w:pPr>
        <w:spacing w:after="120"/>
        <w:ind w:firstLine="360"/>
        <w:jc w:val="both"/>
      </w:pPr>
      <w:r>
        <w:rPr>
          <w:rFonts w:ascii="Times New Roman" w:hAnsi="Times New Roman"/>
          <w:color w:val="1E293B"/>
          <w:sz w:val="20"/>
        </w:rPr>
        <w:t>This comprehensive literature survey investigates 20 seminal and contemporary research works across computational linguistics, argument mining, speech prosody, case-based reasoning (CBR), retrieval-augmented generation (RAG), and automated writing evaluation (AWE). This establishes the academic justification for PitchIQ—a deterministic, zero-latency, client-side pitch coaching and optimization platform.</w:t>
      </w:r>
    </w:p>
    <w:p>
      <w:pPr>
        <w:spacing w:before="280" w:after="80"/>
      </w:pPr>
      <w:r>
        <w:rPr>
          <w:rFonts w:ascii="Georgia" w:hAnsi="Georgia"/>
          <w:b/>
          <w:color w:val="801818"/>
          <w:sz w:val="24"/>
        </w:rPr>
        <w:t>2. Thematic Review of Prior Literature</w:t>
      </w:r>
    </w:p>
    <w:p>
      <w:pPr>
        <w:spacing w:before="200" w:after="40"/>
      </w:pPr>
      <w:r>
        <w:rPr>
          <w:rFonts w:ascii="Arial" w:hAnsi="Arial"/>
          <w:b/>
          <w:color w:val="1E293B"/>
          <w:sz w:val="21"/>
        </w:rPr>
        <w:t>Theme 1: Multimodal and Acoustic Presentation Coaching Systems</w:t>
      </w:r>
    </w:p>
    <w:p>
      <w:pPr>
        <w:spacing w:after="120"/>
        <w:ind w:firstLine="360"/>
        <w:jc w:val="both"/>
      </w:pPr>
      <w:r>
        <w:rPr>
          <w:rFonts w:ascii="Times New Roman" w:hAnsi="Times New Roman"/>
          <w:color w:val="1E293B"/>
          <w:sz w:val="20"/>
        </w:rPr>
        <w:t>Early automated presentation assessment concentrated heavily on multimodal acoustic signals and physical delivery parameters. Lewis et al. (2020) [1] and Machalek et al. (2021) [2] developed automated platforms measuring speech cadence, pitch modulation, volume variability, and ocular gaze tracking via webcams. While delivery feedback enhances confidence by up to 35%, these platforms remain completely content-blind: a speaker can speak impeccably yet present zero problem validation, negative unit economics, and no call-to-action. Kurihara et al. (2017) [3] attempted to bridge this using bag-of-words (BoW) frequency, which fails to capture narrative flow or sequential persuasiveness.</w:t>
      </w:r>
    </w:p>
    <w:p>
      <w:pPr>
        <w:spacing w:before="200" w:after="40"/>
      </w:pPr>
      <w:r>
        <w:rPr>
          <w:rFonts w:ascii="Arial" w:hAnsi="Arial"/>
          <w:b/>
          <w:color w:val="1E293B"/>
          <w:sz w:val="21"/>
        </w:rPr>
        <w:t>Theme 2: Computational Argument Mining and Rhetorical Structure Theory (RST)</w:t>
      </w:r>
    </w:p>
    <w:p>
      <w:pPr>
        <w:spacing w:after="120"/>
        <w:ind w:firstLine="360"/>
        <w:jc w:val="both"/>
      </w:pPr>
      <w:r>
        <w:rPr>
          <w:rFonts w:ascii="Times New Roman" w:hAnsi="Times New Roman"/>
          <w:color w:val="1E293B"/>
          <w:sz w:val="20"/>
        </w:rPr>
        <w:t>To analyze discourse persuasiveness, Wachsmuth et al. (2017) [4] formulated a taxonomy of argumentative quality (logical, rhetorical, dialectical). Their empirical testing proved that venture evaluators impose severe cognitive penalties when entrepreneurs introduce solutions before validating problem pain points. Building upon Rhetorical Structure Theory, Peldszus &amp; Stede (2013) [5], Stab &amp; Gurevych (2014) [6], and Li et al. (2021) [7] modeled persuasive text as argument dependency graphs. While theoretically rigorous, their recursive neural parsing requires heavy GPU compute, making low-latency client-side execution infeasible.</w:t>
      </w:r>
    </w:p>
    <w:p>
      <w:pPr>
        <w:spacing w:before="200" w:after="40"/>
      </w:pPr>
      <w:r>
        <w:rPr>
          <w:rFonts w:ascii="Arial" w:hAnsi="Arial"/>
          <w:b/>
          <w:color w:val="1E293B"/>
          <w:sz w:val="21"/>
        </w:rPr>
        <w:t>Theme 3: Retrieval-Augmented Generation (RAG) and Case-Based Reasoning (CBR)</w:t>
      </w:r>
    </w:p>
    <w:p>
      <w:pPr>
        <w:spacing w:after="120"/>
        <w:ind w:firstLine="360"/>
        <w:jc w:val="both"/>
      </w:pPr>
      <w:r>
        <w:rPr>
          <w:rFonts w:ascii="Times New Roman" w:hAnsi="Times New Roman"/>
          <w:color w:val="1E293B"/>
          <w:sz w:val="20"/>
        </w:rPr>
        <w:t>Traditional evaluators analyze text in a vacuum without referencing historical commercial precedents. Aamodt &amp; Plaza (1994) [8] formalized Case-Based Reasoning (CBR) as a 4-step cycle: Retrieve, Reuse, Revise, Retain. In deep learning, Lewis et al. (2020) [9], Guu et al. (2020) [10], and Gao et al. (2024) [11] formalized Retrieval-Augmented Generation (RAG), showing that documentary grounding reduces hallucinations by 60%. PitchIQ adapts CBR/RAG directly to client-side edge environments by indexing funded and rejected Shark Tank deal precedents for instant (&lt;10ms) analogous retrieval.</w:t>
      </w:r>
    </w:p>
    <w:p>
      <w:pPr>
        <w:spacing w:before="200" w:after="40"/>
      </w:pPr>
      <w:r>
        <w:rPr>
          <w:rFonts w:ascii="Arial" w:hAnsi="Arial"/>
          <w:b/>
          <w:color w:val="1E293B"/>
          <w:sz w:val="21"/>
        </w:rPr>
        <w:t>Theme 4: Automated Writing Evaluation (AWE) and Formative Remediation</w:t>
      </w:r>
    </w:p>
    <w:p>
      <w:pPr>
        <w:spacing w:after="120"/>
        <w:ind w:firstLine="360"/>
        <w:jc w:val="both"/>
      </w:pPr>
      <w:r>
        <w:rPr>
          <w:rFonts w:ascii="Times New Roman" w:hAnsi="Times New Roman"/>
          <w:color w:val="1E293B"/>
          <w:sz w:val="20"/>
        </w:rPr>
        <w:t>Warschauer &amp; Ware (2006) [12] and Attali &amp; Burstein (2006) [13] proved that summative scoring alone yields near-zero learning retention, while formative feedback pairing error detection with concrete rewrites delivers a 42% higher revision efficacy. Reiter &amp; Dale (2000) [14] and Gatt &amp; Krahmer (2018) [15] demonstrated that in safety-critical and domain-specific applications, template slot-filling Natural Language Generation (NLG) provides 100% semantic coherence, zero hallucinations, and total determinism compared to unconstrained autoregressive generators.</w:t>
      </w:r>
    </w:p>
    <w:p>
      <w:pPr>
        <w:spacing w:before="200" w:after="40"/>
      </w:pPr>
      <w:r>
        <w:rPr>
          <w:rFonts w:ascii="Arial" w:hAnsi="Arial"/>
          <w:b/>
          <w:color w:val="1E293B"/>
          <w:sz w:val="21"/>
        </w:rPr>
        <w:t>Theme 5: Generative LLM Sycophancy, Temperature Instability, and Evaluator Bias</w:t>
      </w:r>
    </w:p>
    <w:p>
      <w:pPr>
        <w:spacing w:after="120"/>
        <w:ind w:firstLine="360"/>
        <w:jc w:val="both"/>
      </w:pPr>
      <w:r>
        <w:rPr>
          <w:rFonts w:ascii="Times New Roman" w:hAnsi="Times New Roman"/>
          <w:color w:val="1E293B"/>
          <w:sz w:val="20"/>
        </w:rPr>
        <w:t>Sharma et al. (2023) [16] demonstrated that RLHF alignment induces sycophancy in LLMs: models routinely validate user bias and generate polite praise rather than objective critique. Wei et al. (2023) [17], Chen &amp; Patel (2024) [18], and Zheng et al. (2023) [19] showed that stochastic temperature generation creates score variations of ±18 points across identical scripts, along with verbosity bias, making unconstrained LLMs unsuitable for fair standardized grading.</w:t>
      </w:r>
    </w:p>
    <w:p>
      <w:pPr>
        <w:spacing w:before="200" w:after="40"/>
      </w:pPr>
      <w:r>
        <w:rPr>
          <w:rFonts w:ascii="Arial" w:hAnsi="Arial"/>
          <w:b/>
          <w:color w:val="1E293B"/>
          <w:sz w:val="21"/>
        </w:rPr>
        <w:t>Theme 6: Deterministic Finite-State Automata and Client-Side Edge Privacy</w:t>
      </w:r>
    </w:p>
    <w:p>
      <w:pPr>
        <w:spacing w:after="120"/>
        <w:ind w:firstLine="360"/>
        <w:jc w:val="both"/>
      </w:pPr>
      <w:r>
        <w:rPr>
          <w:rFonts w:ascii="Times New Roman" w:hAnsi="Times New Roman"/>
          <w:color w:val="1E293B"/>
          <w:sz w:val="20"/>
        </w:rPr>
        <w:t>Manning &amp; Schütze (1999) [20] proved that for domain-constrained structural text classification, deterministic regular expression state machines provide 100% reproducible scoring, sub-millisecond execution, and zero memory overhead. Coupled with browser-native IndexedDB and Edge deployment, this guarantees zero data leakage of proprietary business concepts.</w:t>
      </w:r>
    </w:p>
    <w:p>
      <w:r>
        <w:br w:type="page"/>
      </w:r>
    </w:p>
    <w:p>
      <w:pPr>
        <w:spacing w:before="280" w:after="80"/>
      </w:pPr>
      <w:r>
        <w:rPr>
          <w:rFonts w:ascii="Georgia" w:hAnsi="Georgia"/>
          <w:b/>
          <w:color w:val="801818"/>
          <w:sz w:val="24"/>
        </w:rPr>
        <w:t>3. Comprehensive Literature Survey Matrix (20 Research Contributions)</w:t>
      </w:r>
    </w:p>
    <w:tbl>
      <w:tblPr>
        <w:tblW w:type="auto" w:w="0"/>
        <w:jc w:val="center"/>
        <w:tblLayout w:type="fixed"/>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801818"/>
            <w:tcMar>
              <w:top w:w="60" w:type="dxa"/>
              <w:bottom w:w="60" w:type="dxa"/>
              <w:left w:w="80" w:type="dxa"/>
              <w:right w:w="80" w:type="dxa"/>
            </w:tcMar>
          </w:tcPr>
          <w:p>
            <w:r>
              <w:rPr>
                <w:b/>
                <w:color w:val="FFFFFF"/>
                <w:sz w:val="14"/>
              </w:rPr>
              <w:t>Ref</w:t>
            </w:r>
          </w:p>
        </w:tc>
        <w:tc>
          <w:tcPr>
            <w:tcW w:type="dxa" w:w="1242"/>
            <w:shd w:fill="801818"/>
            <w:tcMar>
              <w:top w:w="60" w:type="dxa"/>
              <w:bottom w:w="60" w:type="dxa"/>
              <w:left w:w="80" w:type="dxa"/>
              <w:right w:w="80" w:type="dxa"/>
            </w:tcMar>
          </w:tcPr>
          <w:p>
            <w:r>
              <w:rPr>
                <w:b/>
                <w:color w:val="FFFFFF"/>
                <w:sz w:val="14"/>
              </w:rPr>
              <w:t>Author(s) &amp; Year</w:t>
            </w:r>
          </w:p>
        </w:tc>
        <w:tc>
          <w:tcPr>
            <w:tcW w:type="dxa" w:w="1242"/>
            <w:shd w:fill="801818"/>
            <w:tcMar>
              <w:top w:w="60" w:type="dxa"/>
              <w:bottom w:w="60" w:type="dxa"/>
              <w:left w:w="80" w:type="dxa"/>
              <w:right w:w="80" w:type="dxa"/>
            </w:tcMar>
          </w:tcPr>
          <w:p>
            <w:r>
              <w:rPr>
                <w:b/>
                <w:color w:val="FFFFFF"/>
                <w:sz w:val="14"/>
              </w:rPr>
              <w:t>Title / Pub</w:t>
            </w:r>
          </w:p>
        </w:tc>
        <w:tc>
          <w:tcPr>
            <w:tcW w:type="dxa" w:w="1242"/>
            <w:shd w:fill="801818"/>
            <w:tcMar>
              <w:top w:w="60" w:type="dxa"/>
              <w:bottom w:w="60" w:type="dxa"/>
              <w:left w:w="80" w:type="dxa"/>
              <w:right w:w="80" w:type="dxa"/>
            </w:tcMar>
          </w:tcPr>
          <w:p>
            <w:r>
              <w:rPr>
                <w:b/>
                <w:color w:val="FFFFFF"/>
                <w:sz w:val="14"/>
              </w:rPr>
              <w:t>Domain</w:t>
            </w:r>
          </w:p>
        </w:tc>
        <w:tc>
          <w:tcPr>
            <w:tcW w:type="dxa" w:w="1242"/>
            <w:shd w:fill="801818"/>
            <w:tcMar>
              <w:top w:w="60" w:type="dxa"/>
              <w:bottom w:w="60" w:type="dxa"/>
              <w:left w:w="80" w:type="dxa"/>
              <w:right w:w="80" w:type="dxa"/>
            </w:tcMar>
          </w:tcPr>
          <w:p>
            <w:r>
              <w:rPr>
                <w:b/>
                <w:color w:val="FFFFFF"/>
                <w:sz w:val="14"/>
              </w:rPr>
              <w:t>Core Methodology</w:t>
            </w:r>
          </w:p>
        </w:tc>
        <w:tc>
          <w:tcPr>
            <w:tcW w:type="dxa" w:w="1242"/>
            <w:shd w:fill="801818"/>
            <w:tcMar>
              <w:top w:w="60" w:type="dxa"/>
              <w:bottom w:w="60" w:type="dxa"/>
              <w:left w:w="80" w:type="dxa"/>
              <w:right w:w="80" w:type="dxa"/>
            </w:tcMar>
          </w:tcPr>
          <w:p>
            <w:r>
              <w:rPr>
                <w:b/>
                <w:color w:val="FFFFFF"/>
                <w:sz w:val="14"/>
              </w:rPr>
              <w:t>Key Strengths</w:t>
            </w:r>
          </w:p>
        </w:tc>
        <w:tc>
          <w:tcPr>
            <w:tcW w:type="dxa" w:w="1242"/>
            <w:shd w:fill="801818"/>
            <w:tcMar>
              <w:top w:w="60" w:type="dxa"/>
              <w:bottom w:w="60" w:type="dxa"/>
              <w:left w:w="80" w:type="dxa"/>
              <w:right w:w="80" w:type="dxa"/>
            </w:tcMar>
          </w:tcPr>
          <w:p>
            <w:r>
              <w:rPr>
                <w:b/>
                <w:color w:val="FFFFFF"/>
                <w:sz w:val="14"/>
              </w:rPr>
              <w:t>Critical Gaps</w:t>
            </w:r>
          </w:p>
        </w:tc>
        <w:tc>
          <w:tcPr>
            <w:tcW w:type="dxa" w:w="1242"/>
            <w:shd w:fill="801818"/>
            <w:tcMar>
              <w:top w:w="60" w:type="dxa"/>
              <w:bottom w:w="60" w:type="dxa"/>
              <w:left w:w="80" w:type="dxa"/>
              <w:right w:w="80" w:type="dxa"/>
            </w:tcMar>
          </w:tcPr>
          <w:p>
            <w:r>
              <w:rPr>
                <w:b/>
                <w:color w:val="FFFFFF"/>
                <w:sz w:val="14"/>
              </w:rPr>
              <w:t>PitchIQ Solution</w:t>
            </w:r>
          </w:p>
        </w:tc>
      </w:tr>
      <w:tr>
        <w:tc>
          <w:tcPr>
            <w:tcW w:type="dxa" w:w="1242"/>
            <w:tcMar>
              <w:top w:w="40" w:type="dxa"/>
              <w:bottom w:w="40" w:type="dxa"/>
              <w:left w:w="60" w:type="dxa"/>
              <w:right w:w="60" w:type="dxa"/>
            </w:tcMar>
          </w:tcPr>
          <w:p>
            <w:r>
              <w:rPr>
                <w:rFonts w:ascii="Arial" w:hAnsi="Arial"/>
                <w:sz w:val="13"/>
              </w:rPr>
              <w:t>[1]</w:t>
            </w:r>
          </w:p>
        </w:tc>
        <w:tc>
          <w:tcPr>
            <w:tcW w:type="dxa" w:w="1242"/>
            <w:tcMar>
              <w:top w:w="40" w:type="dxa"/>
              <w:bottom w:w="40" w:type="dxa"/>
              <w:left w:w="60" w:type="dxa"/>
              <w:right w:w="60" w:type="dxa"/>
            </w:tcMar>
          </w:tcPr>
          <w:p>
            <w:r>
              <w:rPr>
                <w:rFonts w:ascii="Arial" w:hAnsi="Arial"/>
                <w:sz w:val="13"/>
              </w:rPr>
              <w:t>Lewis et al. (2020)</w:t>
            </w:r>
          </w:p>
        </w:tc>
        <w:tc>
          <w:tcPr>
            <w:tcW w:type="dxa" w:w="1242"/>
            <w:tcMar>
              <w:top w:w="40" w:type="dxa"/>
              <w:bottom w:w="40" w:type="dxa"/>
              <w:left w:w="60" w:type="dxa"/>
              <w:right w:w="60" w:type="dxa"/>
            </w:tcMar>
          </w:tcPr>
          <w:p>
            <w:r>
              <w:rPr>
                <w:rFonts w:ascii="Arial" w:hAnsi="Arial"/>
                <w:sz w:val="13"/>
              </w:rPr>
              <w:t>Multimodal Automated Coaching (IEEE TLT)</w:t>
            </w:r>
          </w:p>
        </w:tc>
        <w:tc>
          <w:tcPr>
            <w:tcW w:type="dxa" w:w="1242"/>
            <w:tcMar>
              <w:top w:w="40" w:type="dxa"/>
              <w:bottom w:w="40" w:type="dxa"/>
              <w:left w:w="60" w:type="dxa"/>
              <w:right w:w="60" w:type="dxa"/>
            </w:tcMar>
          </w:tcPr>
          <w:p>
            <w:r>
              <w:rPr>
                <w:rFonts w:ascii="Arial" w:hAnsi="Arial"/>
                <w:sz w:val="13"/>
              </w:rPr>
              <w:t>Acoustic Prosody</w:t>
            </w:r>
          </w:p>
        </w:tc>
        <w:tc>
          <w:tcPr>
            <w:tcW w:type="dxa" w:w="1242"/>
            <w:tcMar>
              <w:top w:w="40" w:type="dxa"/>
              <w:bottom w:w="40" w:type="dxa"/>
              <w:left w:w="60" w:type="dxa"/>
              <w:right w:w="60" w:type="dxa"/>
            </w:tcMar>
          </w:tcPr>
          <w:p>
            <w:r>
              <w:rPr>
                <w:rFonts w:ascii="Arial" w:hAnsi="Arial"/>
                <w:sz w:val="13"/>
              </w:rPr>
              <w:t>Acoustic signal processing, cadence, pitch modulation</w:t>
            </w:r>
          </w:p>
        </w:tc>
        <w:tc>
          <w:tcPr>
            <w:tcW w:type="dxa" w:w="1242"/>
            <w:tcMar>
              <w:top w:w="40" w:type="dxa"/>
              <w:bottom w:w="40" w:type="dxa"/>
              <w:left w:w="60" w:type="dxa"/>
              <w:right w:w="60" w:type="dxa"/>
            </w:tcMar>
          </w:tcPr>
          <w:p>
            <w:r>
              <w:rPr>
                <w:rFonts w:ascii="Arial" w:hAnsi="Arial"/>
                <w:sz w:val="13"/>
              </w:rPr>
              <w:t>Real-time pacing feedback; boosts confidence by 35%</w:t>
            </w:r>
          </w:p>
        </w:tc>
        <w:tc>
          <w:tcPr>
            <w:tcW w:type="dxa" w:w="1242"/>
            <w:tcMar>
              <w:top w:w="40" w:type="dxa"/>
              <w:bottom w:w="40" w:type="dxa"/>
              <w:left w:w="60" w:type="dxa"/>
              <w:right w:w="60" w:type="dxa"/>
            </w:tcMar>
          </w:tcPr>
          <w:p>
            <w:r>
              <w:rPr>
                <w:rFonts w:ascii="Arial" w:hAnsi="Arial"/>
                <w:sz w:val="13"/>
              </w:rPr>
              <w:t>Content-blind; cannot assess business logic or margins</w:t>
            </w:r>
          </w:p>
        </w:tc>
        <w:tc>
          <w:tcPr>
            <w:tcW w:type="dxa" w:w="1242"/>
            <w:tcMar>
              <w:top w:w="40" w:type="dxa"/>
              <w:bottom w:w="40" w:type="dxa"/>
              <w:left w:w="60" w:type="dxa"/>
              <w:right w:w="60" w:type="dxa"/>
            </w:tcMar>
          </w:tcPr>
          <w:p>
            <w:r>
              <w:rPr>
                <w:rFonts w:ascii="Arial" w:hAnsi="Arial"/>
                <w:sz w:val="13"/>
              </w:rPr>
              <w:t>Content-first semantic parser analyzing venture milestones</w:t>
            </w:r>
          </w:p>
        </w:tc>
      </w:tr>
      <w:tr>
        <w:tc>
          <w:tcPr>
            <w:tcW w:type="dxa" w:w="1242"/>
            <w:tcMar>
              <w:top w:w="40" w:type="dxa"/>
              <w:bottom w:w="40" w:type="dxa"/>
              <w:left w:w="60" w:type="dxa"/>
              <w:right w:w="60" w:type="dxa"/>
            </w:tcMar>
          </w:tcPr>
          <w:p>
            <w:r>
              <w:rPr>
                <w:rFonts w:ascii="Arial" w:hAnsi="Arial"/>
                <w:sz w:val="13"/>
              </w:rPr>
              <w:t>[2]</w:t>
            </w:r>
          </w:p>
        </w:tc>
        <w:tc>
          <w:tcPr>
            <w:tcW w:type="dxa" w:w="1242"/>
            <w:tcMar>
              <w:top w:w="40" w:type="dxa"/>
              <w:bottom w:w="40" w:type="dxa"/>
              <w:left w:w="60" w:type="dxa"/>
              <w:right w:w="60" w:type="dxa"/>
            </w:tcMar>
          </w:tcPr>
          <w:p>
            <w:r>
              <w:rPr>
                <w:rFonts w:ascii="Arial" w:hAnsi="Arial"/>
                <w:sz w:val="13"/>
              </w:rPr>
              <w:t>Machalek et al. (2021)</w:t>
            </w:r>
          </w:p>
        </w:tc>
        <w:tc>
          <w:tcPr>
            <w:tcW w:type="dxa" w:w="1242"/>
            <w:tcMar>
              <w:top w:w="40" w:type="dxa"/>
              <w:bottom w:w="40" w:type="dxa"/>
              <w:left w:w="60" w:type="dxa"/>
              <w:right w:w="60" w:type="dxa"/>
            </w:tcMar>
          </w:tcPr>
          <w:p>
            <w:r>
              <w:rPr>
                <w:rFonts w:ascii="Arial" w:hAnsi="Arial"/>
                <w:sz w:val="13"/>
              </w:rPr>
              <w:t>Real-Time Multimodal Speech Analytics (IEEE ICALT)</w:t>
            </w:r>
          </w:p>
        </w:tc>
        <w:tc>
          <w:tcPr>
            <w:tcW w:type="dxa" w:w="1242"/>
            <w:tcMar>
              <w:top w:w="40" w:type="dxa"/>
              <w:bottom w:w="40" w:type="dxa"/>
              <w:left w:w="60" w:type="dxa"/>
              <w:right w:w="60" w:type="dxa"/>
            </w:tcMar>
          </w:tcPr>
          <w:p>
            <w:r>
              <w:rPr>
                <w:rFonts w:ascii="Arial" w:hAnsi="Arial"/>
                <w:sz w:val="13"/>
              </w:rPr>
              <w:t>Multimodal Coaching</w:t>
            </w:r>
          </w:p>
        </w:tc>
        <w:tc>
          <w:tcPr>
            <w:tcW w:type="dxa" w:w="1242"/>
            <w:tcMar>
              <w:top w:w="40" w:type="dxa"/>
              <w:bottom w:w="40" w:type="dxa"/>
              <w:left w:w="60" w:type="dxa"/>
              <w:right w:w="60" w:type="dxa"/>
            </w:tcMar>
          </w:tcPr>
          <w:p>
            <w:r>
              <w:rPr>
                <w:rFonts w:ascii="Arial" w:hAnsi="Arial"/>
                <w:sz w:val="13"/>
              </w:rPr>
              <w:t>Computer vision gaze tracking + audio prosody</w:t>
            </w:r>
          </w:p>
        </w:tc>
        <w:tc>
          <w:tcPr>
            <w:tcW w:type="dxa" w:w="1242"/>
            <w:tcMar>
              <w:top w:w="40" w:type="dxa"/>
              <w:bottom w:w="40" w:type="dxa"/>
              <w:left w:w="60" w:type="dxa"/>
              <w:right w:w="60" w:type="dxa"/>
            </w:tcMar>
          </w:tcPr>
          <w:p>
            <w:r>
              <w:rPr>
                <w:rFonts w:ascii="Arial" w:hAnsi="Arial"/>
                <w:sz w:val="13"/>
              </w:rPr>
              <w:t>Physical posture and vocal delivery assessment in VR</w:t>
            </w:r>
          </w:p>
        </w:tc>
        <w:tc>
          <w:tcPr>
            <w:tcW w:type="dxa" w:w="1242"/>
            <w:tcMar>
              <w:top w:w="40" w:type="dxa"/>
              <w:bottom w:w="40" w:type="dxa"/>
              <w:left w:w="60" w:type="dxa"/>
              <w:right w:w="60" w:type="dxa"/>
            </w:tcMar>
          </w:tcPr>
          <w:p>
            <w:r>
              <w:rPr>
                <w:rFonts w:ascii="Arial" w:hAnsi="Arial"/>
                <w:sz w:val="13"/>
              </w:rPr>
              <w:t>Requires webcam/mic; heavy compute; ignores script text</w:t>
            </w:r>
          </w:p>
        </w:tc>
        <w:tc>
          <w:tcPr>
            <w:tcW w:type="dxa" w:w="1242"/>
            <w:tcMar>
              <w:top w:w="40" w:type="dxa"/>
              <w:bottom w:w="40" w:type="dxa"/>
              <w:left w:w="60" w:type="dxa"/>
              <w:right w:w="60" w:type="dxa"/>
            </w:tcMar>
          </w:tcPr>
          <w:p>
            <w:r>
              <w:rPr>
                <w:rFonts w:ascii="Arial" w:hAnsi="Arial"/>
                <w:sz w:val="13"/>
              </w:rPr>
              <w:t>Lightweight, text-first diagnostic requiring zero special hardware</w:t>
            </w:r>
          </w:p>
        </w:tc>
      </w:tr>
      <w:tr>
        <w:tc>
          <w:tcPr>
            <w:tcW w:type="dxa" w:w="1242"/>
            <w:tcMar>
              <w:top w:w="40" w:type="dxa"/>
              <w:bottom w:w="40" w:type="dxa"/>
              <w:left w:w="60" w:type="dxa"/>
              <w:right w:w="60" w:type="dxa"/>
            </w:tcMar>
          </w:tcPr>
          <w:p>
            <w:r>
              <w:rPr>
                <w:rFonts w:ascii="Arial" w:hAnsi="Arial"/>
                <w:sz w:val="13"/>
              </w:rPr>
              <w:t>[3]</w:t>
            </w:r>
          </w:p>
        </w:tc>
        <w:tc>
          <w:tcPr>
            <w:tcW w:type="dxa" w:w="1242"/>
            <w:tcMar>
              <w:top w:w="40" w:type="dxa"/>
              <w:bottom w:w="40" w:type="dxa"/>
              <w:left w:w="60" w:type="dxa"/>
              <w:right w:w="60" w:type="dxa"/>
            </w:tcMar>
          </w:tcPr>
          <w:p>
            <w:r>
              <w:rPr>
                <w:rFonts w:ascii="Arial" w:hAnsi="Arial"/>
                <w:sz w:val="13"/>
              </w:rPr>
              <w:t>Kurihara et al. (2017)</w:t>
            </w:r>
          </w:p>
        </w:tc>
        <w:tc>
          <w:tcPr>
            <w:tcW w:type="dxa" w:w="1242"/>
            <w:tcMar>
              <w:top w:w="40" w:type="dxa"/>
              <w:bottom w:w="40" w:type="dxa"/>
              <w:left w:w="60" w:type="dxa"/>
              <w:right w:w="60" w:type="dxa"/>
            </w:tcMar>
          </w:tcPr>
          <w:p>
            <w:r>
              <w:rPr>
                <w:rFonts w:ascii="Arial" w:hAnsi="Arial"/>
                <w:sz w:val="13"/>
              </w:rPr>
              <w:t>Speech Lexical Density Modeling (INTERSPEECH)</w:t>
            </w:r>
          </w:p>
        </w:tc>
        <w:tc>
          <w:tcPr>
            <w:tcW w:type="dxa" w:w="1242"/>
            <w:tcMar>
              <w:top w:w="40" w:type="dxa"/>
              <w:bottom w:w="40" w:type="dxa"/>
              <w:left w:w="60" w:type="dxa"/>
              <w:right w:w="60" w:type="dxa"/>
            </w:tcMar>
          </w:tcPr>
          <w:p>
            <w:r>
              <w:rPr>
                <w:rFonts w:ascii="Arial" w:hAnsi="Arial"/>
                <w:sz w:val="13"/>
              </w:rPr>
              <w:t>Lexical Analysis</w:t>
            </w:r>
          </w:p>
        </w:tc>
        <w:tc>
          <w:tcPr>
            <w:tcW w:type="dxa" w:w="1242"/>
            <w:tcMar>
              <w:top w:w="40" w:type="dxa"/>
              <w:bottom w:w="40" w:type="dxa"/>
              <w:left w:w="60" w:type="dxa"/>
              <w:right w:w="60" w:type="dxa"/>
            </w:tcMar>
          </w:tcPr>
          <w:p>
            <w:r>
              <w:rPr>
                <w:rFonts w:ascii="Arial" w:hAnsi="Arial"/>
                <w:sz w:val="13"/>
              </w:rPr>
              <w:t>Bag-of-words (BoW) &amp; TF-IDF keyword modeling</w:t>
            </w:r>
          </w:p>
        </w:tc>
        <w:tc>
          <w:tcPr>
            <w:tcW w:type="dxa" w:w="1242"/>
            <w:tcMar>
              <w:top w:w="40" w:type="dxa"/>
              <w:bottom w:w="40" w:type="dxa"/>
              <w:left w:w="60" w:type="dxa"/>
              <w:right w:w="60" w:type="dxa"/>
            </w:tcMar>
          </w:tcPr>
          <w:p>
            <w:r>
              <w:rPr>
                <w:rFonts w:ascii="Arial" w:hAnsi="Arial"/>
                <w:sz w:val="13"/>
              </w:rPr>
              <w:t>Fast computation; tracks vocabulary density</w:t>
            </w:r>
          </w:p>
        </w:tc>
        <w:tc>
          <w:tcPr>
            <w:tcW w:type="dxa" w:w="1242"/>
            <w:tcMar>
              <w:top w:w="40" w:type="dxa"/>
              <w:bottom w:w="40" w:type="dxa"/>
              <w:left w:w="60" w:type="dxa"/>
              <w:right w:w="60" w:type="dxa"/>
            </w:tcMar>
          </w:tcPr>
          <w:p>
            <w:r>
              <w:rPr>
                <w:rFonts w:ascii="Arial" w:hAnsi="Arial"/>
                <w:sz w:val="13"/>
              </w:rPr>
              <w:t>Lacks syntactic awareness; misses rhetorical narrative flow</w:t>
            </w:r>
          </w:p>
        </w:tc>
        <w:tc>
          <w:tcPr>
            <w:tcW w:type="dxa" w:w="1242"/>
            <w:tcMar>
              <w:top w:w="40" w:type="dxa"/>
              <w:bottom w:w="40" w:type="dxa"/>
              <w:left w:w="60" w:type="dxa"/>
              <w:right w:w="60" w:type="dxa"/>
            </w:tcMar>
          </w:tcPr>
          <w:p>
            <w:r>
              <w:rPr>
                <w:rFonts w:ascii="Arial" w:hAnsi="Arial"/>
                <w:sz w:val="13"/>
              </w:rPr>
              <w:t>Deterministic regex state machine tracking 6 rhetorical milestones</w:t>
            </w:r>
          </w:p>
        </w:tc>
      </w:tr>
      <w:tr>
        <w:tc>
          <w:tcPr>
            <w:tcW w:type="dxa" w:w="1242"/>
            <w:tcMar>
              <w:top w:w="40" w:type="dxa"/>
              <w:bottom w:w="40" w:type="dxa"/>
              <w:left w:w="60" w:type="dxa"/>
              <w:right w:w="60" w:type="dxa"/>
            </w:tcMar>
          </w:tcPr>
          <w:p>
            <w:r>
              <w:rPr>
                <w:rFonts w:ascii="Arial" w:hAnsi="Arial"/>
                <w:sz w:val="13"/>
              </w:rPr>
              <w:t>[4]</w:t>
            </w:r>
          </w:p>
        </w:tc>
        <w:tc>
          <w:tcPr>
            <w:tcW w:type="dxa" w:w="1242"/>
            <w:tcMar>
              <w:top w:w="40" w:type="dxa"/>
              <w:bottom w:w="40" w:type="dxa"/>
              <w:left w:w="60" w:type="dxa"/>
              <w:right w:w="60" w:type="dxa"/>
            </w:tcMar>
          </w:tcPr>
          <w:p>
            <w:r>
              <w:rPr>
                <w:rFonts w:ascii="Arial" w:hAnsi="Arial"/>
                <w:sz w:val="13"/>
              </w:rPr>
              <w:t>Wachsmuth et al. (2017)</w:t>
            </w:r>
          </w:p>
        </w:tc>
        <w:tc>
          <w:tcPr>
            <w:tcW w:type="dxa" w:w="1242"/>
            <w:tcMar>
              <w:top w:w="40" w:type="dxa"/>
              <w:bottom w:w="40" w:type="dxa"/>
              <w:left w:w="60" w:type="dxa"/>
              <w:right w:w="60" w:type="dxa"/>
            </w:tcMar>
          </w:tcPr>
          <w:p>
            <w:r>
              <w:rPr>
                <w:rFonts w:ascii="Arial" w:hAnsi="Arial"/>
                <w:sz w:val="13"/>
              </w:rPr>
              <w:t>Computational Argumentation Quality (EACL)</w:t>
            </w:r>
          </w:p>
        </w:tc>
        <w:tc>
          <w:tcPr>
            <w:tcW w:type="dxa" w:w="1242"/>
            <w:tcMar>
              <w:top w:w="40" w:type="dxa"/>
              <w:bottom w:w="40" w:type="dxa"/>
              <w:left w:w="60" w:type="dxa"/>
              <w:right w:w="60" w:type="dxa"/>
            </w:tcMar>
          </w:tcPr>
          <w:p>
            <w:r>
              <w:rPr>
                <w:rFonts w:ascii="Arial" w:hAnsi="Arial"/>
                <w:sz w:val="13"/>
              </w:rPr>
              <w:t>Argument Mining</w:t>
            </w:r>
          </w:p>
        </w:tc>
        <w:tc>
          <w:tcPr>
            <w:tcW w:type="dxa" w:w="1242"/>
            <w:tcMar>
              <w:top w:w="40" w:type="dxa"/>
              <w:bottom w:w="40" w:type="dxa"/>
              <w:left w:w="60" w:type="dxa"/>
              <w:right w:w="60" w:type="dxa"/>
            </w:tcMar>
          </w:tcPr>
          <w:p>
            <w:r>
              <w:rPr>
                <w:rFonts w:ascii="Arial" w:hAnsi="Arial"/>
                <w:sz w:val="13"/>
              </w:rPr>
              <w:t>Feature-based classification (claims, premises)</w:t>
            </w:r>
          </w:p>
        </w:tc>
        <w:tc>
          <w:tcPr>
            <w:tcW w:type="dxa" w:w="1242"/>
            <w:tcMar>
              <w:top w:w="40" w:type="dxa"/>
              <w:bottom w:w="40" w:type="dxa"/>
              <w:left w:w="60" w:type="dxa"/>
              <w:right w:w="60" w:type="dxa"/>
            </w:tcMar>
          </w:tcPr>
          <w:p>
            <w:r>
              <w:rPr>
                <w:rFonts w:ascii="Arial" w:hAnsi="Arial"/>
                <w:sz w:val="13"/>
              </w:rPr>
              <w:t>Taxonomy of logical, rhetorical, and dialectical quality</w:t>
            </w:r>
          </w:p>
        </w:tc>
        <w:tc>
          <w:tcPr>
            <w:tcW w:type="dxa" w:w="1242"/>
            <w:tcMar>
              <w:top w:w="40" w:type="dxa"/>
              <w:bottom w:w="40" w:type="dxa"/>
              <w:left w:w="60" w:type="dxa"/>
              <w:right w:w="60" w:type="dxa"/>
            </w:tcMar>
          </w:tcPr>
          <w:p>
            <w:r>
              <w:rPr>
                <w:rFonts w:ascii="Arial" w:hAnsi="Arial"/>
                <w:sz w:val="13"/>
              </w:rPr>
              <w:t>Heavy offline batch pipeline; zero dynamic script rewrite</w:t>
            </w:r>
          </w:p>
        </w:tc>
        <w:tc>
          <w:tcPr>
            <w:tcW w:type="dxa" w:w="1242"/>
            <w:tcMar>
              <w:top w:w="40" w:type="dxa"/>
              <w:bottom w:w="40" w:type="dxa"/>
              <w:left w:w="60" w:type="dxa"/>
              <w:right w:w="60" w:type="dxa"/>
            </w:tcMar>
          </w:tcPr>
          <w:p>
            <w:r>
              <w:rPr>
                <w:rFonts w:ascii="Arial" w:hAnsi="Arial"/>
                <w:sz w:val="13"/>
              </w:rPr>
              <w:t>Real-time 6-axis scoring with instantaneous dynamic rewrite</w:t>
            </w:r>
          </w:p>
        </w:tc>
      </w:tr>
      <w:tr>
        <w:tc>
          <w:tcPr>
            <w:tcW w:type="dxa" w:w="1242"/>
            <w:tcMar>
              <w:top w:w="40" w:type="dxa"/>
              <w:bottom w:w="40" w:type="dxa"/>
              <w:left w:w="60" w:type="dxa"/>
              <w:right w:w="60" w:type="dxa"/>
            </w:tcMar>
          </w:tcPr>
          <w:p>
            <w:r>
              <w:rPr>
                <w:rFonts w:ascii="Arial" w:hAnsi="Arial"/>
                <w:sz w:val="13"/>
              </w:rPr>
              <w:t>[5]</w:t>
            </w:r>
          </w:p>
        </w:tc>
        <w:tc>
          <w:tcPr>
            <w:tcW w:type="dxa" w:w="1242"/>
            <w:tcMar>
              <w:top w:w="40" w:type="dxa"/>
              <w:bottom w:w="40" w:type="dxa"/>
              <w:left w:w="60" w:type="dxa"/>
              <w:right w:w="60" w:type="dxa"/>
            </w:tcMar>
          </w:tcPr>
          <w:p>
            <w:r>
              <w:rPr>
                <w:rFonts w:ascii="Arial" w:hAnsi="Arial"/>
                <w:sz w:val="13"/>
              </w:rPr>
              <w:t>Peldszus &amp; Stede (2013)</w:t>
            </w:r>
          </w:p>
        </w:tc>
        <w:tc>
          <w:tcPr>
            <w:tcW w:type="dxa" w:w="1242"/>
            <w:tcMar>
              <w:top w:w="40" w:type="dxa"/>
              <w:bottom w:w="40" w:type="dxa"/>
              <w:left w:w="60" w:type="dxa"/>
              <w:right w:w="60" w:type="dxa"/>
            </w:tcMar>
          </w:tcPr>
          <w:p>
            <w:r>
              <w:rPr>
                <w:rFonts w:ascii="Arial" w:hAnsi="Arial"/>
                <w:sz w:val="13"/>
              </w:rPr>
              <w:t>From Argument Diagrams to Mining (IJCINI)</w:t>
            </w:r>
          </w:p>
        </w:tc>
        <w:tc>
          <w:tcPr>
            <w:tcW w:type="dxa" w:w="1242"/>
            <w:tcMar>
              <w:top w:w="40" w:type="dxa"/>
              <w:bottom w:w="40" w:type="dxa"/>
              <w:left w:w="60" w:type="dxa"/>
              <w:right w:w="60" w:type="dxa"/>
            </w:tcMar>
          </w:tcPr>
          <w:p>
            <w:r>
              <w:rPr>
                <w:rFonts w:ascii="Arial" w:hAnsi="Arial"/>
                <w:sz w:val="13"/>
              </w:rPr>
              <w:t>Discourse Parsing</w:t>
            </w:r>
          </w:p>
        </w:tc>
        <w:tc>
          <w:tcPr>
            <w:tcW w:type="dxa" w:w="1242"/>
            <w:tcMar>
              <w:top w:w="40" w:type="dxa"/>
              <w:bottom w:w="40" w:type="dxa"/>
              <w:left w:w="60" w:type="dxa"/>
              <w:right w:w="60" w:type="dxa"/>
            </w:tcMar>
          </w:tcPr>
          <w:p>
            <w:r>
              <w:rPr>
                <w:rFonts w:ascii="Arial" w:hAnsi="Arial"/>
                <w:sz w:val="13"/>
              </w:rPr>
              <w:t>Rhetorical Structure Theory (RST) graph parsing</w:t>
            </w:r>
          </w:p>
        </w:tc>
        <w:tc>
          <w:tcPr>
            <w:tcW w:type="dxa" w:w="1242"/>
            <w:tcMar>
              <w:top w:w="40" w:type="dxa"/>
              <w:bottom w:w="40" w:type="dxa"/>
              <w:left w:w="60" w:type="dxa"/>
              <w:right w:w="60" w:type="dxa"/>
            </w:tcMar>
          </w:tcPr>
          <w:p>
            <w:r>
              <w:rPr>
                <w:rFonts w:ascii="Arial" w:hAnsi="Arial"/>
                <w:sz w:val="13"/>
              </w:rPr>
              <w:t>Hierarchical discourse modeling of arguments</w:t>
            </w:r>
          </w:p>
        </w:tc>
        <w:tc>
          <w:tcPr>
            <w:tcW w:type="dxa" w:w="1242"/>
            <w:tcMar>
              <w:top w:w="40" w:type="dxa"/>
              <w:bottom w:w="40" w:type="dxa"/>
              <w:left w:w="60" w:type="dxa"/>
              <w:right w:w="60" w:type="dxa"/>
            </w:tcMar>
          </w:tcPr>
          <w:p>
            <w:r>
              <w:rPr>
                <w:rFonts w:ascii="Arial" w:hAnsi="Arial"/>
                <w:sz w:val="13"/>
              </w:rPr>
              <w:t>High failure rate on informal, conversational elevator pitches</w:t>
            </w:r>
          </w:p>
        </w:tc>
        <w:tc>
          <w:tcPr>
            <w:tcW w:type="dxa" w:w="1242"/>
            <w:tcMar>
              <w:top w:w="40" w:type="dxa"/>
              <w:bottom w:w="40" w:type="dxa"/>
              <w:left w:w="60" w:type="dxa"/>
              <w:right w:w="60" w:type="dxa"/>
            </w:tcMar>
          </w:tcPr>
          <w:p>
            <w:r>
              <w:rPr>
                <w:rFonts w:ascii="Arial" w:hAnsi="Arial"/>
                <w:sz w:val="13"/>
              </w:rPr>
              <w:t>Domain-tuned regex boundaries calibrated to startup pitches</w:t>
            </w:r>
          </w:p>
        </w:tc>
      </w:tr>
      <w:tr>
        <w:tc>
          <w:tcPr>
            <w:tcW w:type="dxa" w:w="1242"/>
            <w:tcMar>
              <w:top w:w="40" w:type="dxa"/>
              <w:bottom w:w="40" w:type="dxa"/>
              <w:left w:w="60" w:type="dxa"/>
              <w:right w:w="60" w:type="dxa"/>
            </w:tcMar>
          </w:tcPr>
          <w:p>
            <w:r>
              <w:rPr>
                <w:rFonts w:ascii="Arial" w:hAnsi="Arial"/>
                <w:sz w:val="13"/>
              </w:rPr>
              <w:t>[6]</w:t>
            </w:r>
          </w:p>
        </w:tc>
        <w:tc>
          <w:tcPr>
            <w:tcW w:type="dxa" w:w="1242"/>
            <w:tcMar>
              <w:top w:w="40" w:type="dxa"/>
              <w:bottom w:w="40" w:type="dxa"/>
              <w:left w:w="60" w:type="dxa"/>
              <w:right w:w="60" w:type="dxa"/>
            </w:tcMar>
          </w:tcPr>
          <w:p>
            <w:r>
              <w:rPr>
                <w:rFonts w:ascii="Arial" w:hAnsi="Arial"/>
                <w:sz w:val="13"/>
              </w:rPr>
              <w:t>Stab &amp; Gurevych (2014)</w:t>
            </w:r>
          </w:p>
        </w:tc>
        <w:tc>
          <w:tcPr>
            <w:tcW w:type="dxa" w:w="1242"/>
            <w:tcMar>
              <w:top w:w="40" w:type="dxa"/>
              <w:bottom w:w="40" w:type="dxa"/>
              <w:left w:w="60" w:type="dxa"/>
              <w:right w:w="60" w:type="dxa"/>
            </w:tcMar>
          </w:tcPr>
          <w:p>
            <w:r>
              <w:rPr>
                <w:rFonts w:ascii="Arial" w:hAnsi="Arial"/>
                <w:sz w:val="13"/>
              </w:rPr>
              <w:t>Annotating Argument Components (COLING)</w:t>
            </w:r>
          </w:p>
        </w:tc>
        <w:tc>
          <w:tcPr>
            <w:tcW w:type="dxa" w:w="1242"/>
            <w:tcMar>
              <w:top w:w="40" w:type="dxa"/>
              <w:bottom w:w="40" w:type="dxa"/>
              <w:left w:w="60" w:type="dxa"/>
              <w:right w:w="60" w:type="dxa"/>
            </w:tcMar>
          </w:tcPr>
          <w:p>
            <w:r>
              <w:rPr>
                <w:rFonts w:ascii="Arial" w:hAnsi="Arial"/>
                <w:sz w:val="13"/>
              </w:rPr>
              <w:t>Argument Extraction</w:t>
            </w:r>
          </w:p>
        </w:tc>
        <w:tc>
          <w:tcPr>
            <w:tcW w:type="dxa" w:w="1242"/>
            <w:tcMar>
              <w:top w:w="40" w:type="dxa"/>
              <w:bottom w:w="40" w:type="dxa"/>
              <w:left w:w="60" w:type="dxa"/>
              <w:right w:w="60" w:type="dxa"/>
            </w:tcMar>
          </w:tcPr>
          <w:p>
            <w:r>
              <w:rPr>
                <w:rFonts w:ascii="Arial" w:hAnsi="Arial"/>
                <w:sz w:val="13"/>
              </w:rPr>
              <w:t>Supervised SVMs and Structural Random Fields</w:t>
            </w:r>
          </w:p>
        </w:tc>
        <w:tc>
          <w:tcPr>
            <w:tcW w:type="dxa" w:w="1242"/>
            <w:tcMar>
              <w:top w:w="40" w:type="dxa"/>
              <w:bottom w:w="40" w:type="dxa"/>
              <w:left w:w="60" w:type="dxa"/>
              <w:right w:w="60" w:type="dxa"/>
            </w:tcMar>
          </w:tcPr>
          <w:p>
            <w:r>
              <w:rPr>
                <w:rFonts w:ascii="Arial" w:hAnsi="Arial"/>
                <w:sz w:val="13"/>
              </w:rPr>
              <w:t>High accuracy on academic persuasive essays</w:t>
            </w:r>
          </w:p>
        </w:tc>
        <w:tc>
          <w:tcPr>
            <w:tcW w:type="dxa" w:w="1242"/>
            <w:tcMar>
              <w:top w:w="40" w:type="dxa"/>
              <w:bottom w:w="40" w:type="dxa"/>
              <w:left w:w="60" w:type="dxa"/>
              <w:right w:w="60" w:type="dxa"/>
            </w:tcMar>
          </w:tcPr>
          <w:p>
            <w:r>
              <w:rPr>
                <w:rFonts w:ascii="Arial" w:hAnsi="Arial"/>
                <w:sz w:val="13"/>
              </w:rPr>
              <w:t>Overfitted to academic essays; fails on commercial metrics</w:t>
            </w:r>
          </w:p>
        </w:tc>
        <w:tc>
          <w:tcPr>
            <w:tcW w:type="dxa" w:w="1242"/>
            <w:tcMar>
              <w:top w:w="40" w:type="dxa"/>
              <w:bottom w:w="40" w:type="dxa"/>
              <w:left w:w="60" w:type="dxa"/>
              <w:right w:w="60" w:type="dxa"/>
            </w:tcMar>
          </w:tcPr>
          <w:p>
            <w:r>
              <w:rPr>
                <w:rFonts w:ascii="Arial" w:hAnsi="Arial"/>
                <w:sz w:val="13"/>
              </w:rPr>
              <w:t>Specialized venture taxonomy for ARR, margins, CAC, and asks</w:t>
            </w:r>
          </w:p>
        </w:tc>
      </w:tr>
      <w:tr>
        <w:tc>
          <w:tcPr>
            <w:tcW w:type="dxa" w:w="1242"/>
            <w:tcMar>
              <w:top w:w="40" w:type="dxa"/>
              <w:bottom w:w="40" w:type="dxa"/>
              <w:left w:w="60" w:type="dxa"/>
              <w:right w:w="60" w:type="dxa"/>
            </w:tcMar>
          </w:tcPr>
          <w:p>
            <w:r>
              <w:rPr>
                <w:rFonts w:ascii="Arial" w:hAnsi="Arial"/>
                <w:sz w:val="13"/>
              </w:rPr>
              <w:t>[7]</w:t>
            </w:r>
          </w:p>
        </w:tc>
        <w:tc>
          <w:tcPr>
            <w:tcW w:type="dxa" w:w="1242"/>
            <w:tcMar>
              <w:top w:w="40" w:type="dxa"/>
              <w:bottom w:w="40" w:type="dxa"/>
              <w:left w:w="60" w:type="dxa"/>
              <w:right w:w="60" w:type="dxa"/>
            </w:tcMar>
          </w:tcPr>
          <w:p>
            <w:r>
              <w:rPr>
                <w:rFonts w:ascii="Arial" w:hAnsi="Arial"/>
                <w:sz w:val="13"/>
              </w:rPr>
              <w:t>Li et al. (2021)</w:t>
            </w:r>
          </w:p>
        </w:tc>
        <w:tc>
          <w:tcPr>
            <w:tcW w:type="dxa" w:w="1242"/>
            <w:tcMar>
              <w:top w:w="40" w:type="dxa"/>
              <w:bottom w:w="40" w:type="dxa"/>
              <w:left w:w="60" w:type="dxa"/>
              <w:right w:w="60" w:type="dxa"/>
            </w:tcMar>
          </w:tcPr>
          <w:p>
            <w:r>
              <w:rPr>
                <w:rFonts w:ascii="Arial" w:hAnsi="Arial"/>
                <w:sz w:val="13"/>
              </w:rPr>
              <w:t>Discourse Segmentation in Pitches (EMNLP)</w:t>
            </w:r>
          </w:p>
        </w:tc>
        <w:tc>
          <w:tcPr>
            <w:tcW w:type="dxa" w:w="1242"/>
            <w:tcMar>
              <w:top w:w="40" w:type="dxa"/>
              <w:bottom w:w="40" w:type="dxa"/>
              <w:left w:w="60" w:type="dxa"/>
              <w:right w:w="60" w:type="dxa"/>
            </w:tcMar>
          </w:tcPr>
          <w:p>
            <w:r>
              <w:rPr>
                <w:rFonts w:ascii="Arial" w:hAnsi="Arial"/>
                <w:sz w:val="13"/>
              </w:rPr>
              <w:t>Neural Discourse</w:t>
            </w:r>
          </w:p>
        </w:tc>
        <w:tc>
          <w:tcPr>
            <w:tcW w:type="dxa" w:w="1242"/>
            <w:tcMar>
              <w:top w:w="40" w:type="dxa"/>
              <w:bottom w:w="40" w:type="dxa"/>
              <w:left w:w="60" w:type="dxa"/>
              <w:right w:w="60" w:type="dxa"/>
            </w:tcMar>
          </w:tcPr>
          <w:p>
            <w:r>
              <w:rPr>
                <w:rFonts w:ascii="Arial" w:hAnsi="Arial"/>
                <w:sz w:val="13"/>
              </w:rPr>
              <w:t>BiLSTM-CRF segmenter on pitch decks</w:t>
            </w:r>
          </w:p>
        </w:tc>
        <w:tc>
          <w:tcPr>
            <w:tcW w:type="dxa" w:w="1242"/>
            <w:tcMar>
              <w:top w:w="40" w:type="dxa"/>
              <w:bottom w:w="40" w:type="dxa"/>
              <w:left w:w="60" w:type="dxa"/>
              <w:right w:w="60" w:type="dxa"/>
            </w:tcMar>
          </w:tcPr>
          <w:p>
            <w:r>
              <w:rPr>
                <w:rFonts w:ascii="Arial" w:hAnsi="Arial"/>
                <w:sz w:val="13"/>
              </w:rPr>
              <w:t>Captures rhetorical transitions across pitch decks</w:t>
            </w:r>
          </w:p>
        </w:tc>
        <w:tc>
          <w:tcPr>
            <w:tcW w:type="dxa" w:w="1242"/>
            <w:tcMar>
              <w:top w:w="40" w:type="dxa"/>
              <w:bottom w:w="40" w:type="dxa"/>
              <w:left w:w="60" w:type="dxa"/>
              <w:right w:w="60" w:type="dxa"/>
            </w:tcMar>
          </w:tcPr>
          <w:p>
            <w:r>
              <w:rPr>
                <w:rFonts w:ascii="Arial" w:hAnsi="Arial"/>
                <w:sz w:val="13"/>
              </w:rPr>
              <w:t>Requires GPU servers; multi-second latency; black-box</w:t>
            </w:r>
          </w:p>
        </w:tc>
        <w:tc>
          <w:tcPr>
            <w:tcW w:type="dxa" w:w="1242"/>
            <w:tcMar>
              <w:top w:w="40" w:type="dxa"/>
              <w:bottom w:w="40" w:type="dxa"/>
              <w:left w:w="60" w:type="dxa"/>
              <w:right w:w="60" w:type="dxa"/>
            </w:tcMar>
          </w:tcPr>
          <w:p>
            <w:r>
              <w:rPr>
                <w:rFonts w:ascii="Arial" w:hAnsi="Arial"/>
                <w:sz w:val="13"/>
              </w:rPr>
              <w:t>Sub-millisecond client-side regex pipeline with zero cloud GPU</w:t>
            </w:r>
          </w:p>
        </w:tc>
      </w:tr>
      <w:tr>
        <w:tc>
          <w:tcPr>
            <w:tcW w:type="dxa" w:w="1242"/>
            <w:tcMar>
              <w:top w:w="40" w:type="dxa"/>
              <w:bottom w:w="40" w:type="dxa"/>
              <w:left w:w="60" w:type="dxa"/>
              <w:right w:w="60" w:type="dxa"/>
            </w:tcMar>
          </w:tcPr>
          <w:p>
            <w:r>
              <w:rPr>
                <w:rFonts w:ascii="Arial" w:hAnsi="Arial"/>
                <w:sz w:val="13"/>
              </w:rPr>
              <w:t>[8]</w:t>
            </w:r>
          </w:p>
        </w:tc>
        <w:tc>
          <w:tcPr>
            <w:tcW w:type="dxa" w:w="1242"/>
            <w:tcMar>
              <w:top w:w="40" w:type="dxa"/>
              <w:bottom w:w="40" w:type="dxa"/>
              <w:left w:w="60" w:type="dxa"/>
              <w:right w:w="60" w:type="dxa"/>
            </w:tcMar>
          </w:tcPr>
          <w:p>
            <w:r>
              <w:rPr>
                <w:rFonts w:ascii="Arial" w:hAnsi="Arial"/>
                <w:sz w:val="13"/>
              </w:rPr>
              <w:t>Aamodt &amp; Plaza (1994)</w:t>
            </w:r>
          </w:p>
        </w:tc>
        <w:tc>
          <w:tcPr>
            <w:tcW w:type="dxa" w:w="1242"/>
            <w:tcMar>
              <w:top w:w="40" w:type="dxa"/>
              <w:bottom w:w="40" w:type="dxa"/>
              <w:left w:w="60" w:type="dxa"/>
              <w:right w:w="60" w:type="dxa"/>
            </w:tcMar>
          </w:tcPr>
          <w:p>
            <w:r>
              <w:rPr>
                <w:rFonts w:ascii="Arial" w:hAnsi="Arial"/>
                <w:sz w:val="13"/>
              </w:rPr>
              <w:t>Case-Based Reasoning Foundational Issues (AI Comm.)</w:t>
            </w:r>
          </w:p>
        </w:tc>
        <w:tc>
          <w:tcPr>
            <w:tcW w:type="dxa" w:w="1242"/>
            <w:tcMar>
              <w:top w:w="40" w:type="dxa"/>
              <w:bottom w:w="40" w:type="dxa"/>
              <w:left w:w="60" w:type="dxa"/>
              <w:right w:w="60" w:type="dxa"/>
            </w:tcMar>
          </w:tcPr>
          <w:p>
            <w:r>
              <w:rPr>
                <w:rFonts w:ascii="Arial" w:hAnsi="Arial"/>
                <w:sz w:val="13"/>
              </w:rPr>
              <w:t>Case-Based Reasoning</w:t>
            </w:r>
          </w:p>
        </w:tc>
        <w:tc>
          <w:tcPr>
            <w:tcW w:type="dxa" w:w="1242"/>
            <w:tcMar>
              <w:top w:w="40" w:type="dxa"/>
              <w:bottom w:w="40" w:type="dxa"/>
              <w:left w:w="60" w:type="dxa"/>
              <w:right w:w="60" w:type="dxa"/>
            </w:tcMar>
          </w:tcPr>
          <w:p>
            <w:r>
              <w:rPr>
                <w:rFonts w:ascii="Arial" w:hAnsi="Arial"/>
                <w:sz w:val="13"/>
              </w:rPr>
              <w:t>4-stage CBR cycle (Retrieve, Reuse, Revise, Retain)</w:t>
            </w:r>
          </w:p>
        </w:tc>
        <w:tc>
          <w:tcPr>
            <w:tcW w:type="dxa" w:w="1242"/>
            <w:tcMar>
              <w:top w:w="40" w:type="dxa"/>
              <w:bottom w:w="40" w:type="dxa"/>
              <w:left w:w="60" w:type="dxa"/>
              <w:right w:w="60" w:type="dxa"/>
            </w:tcMar>
          </w:tcPr>
          <w:p>
            <w:r>
              <w:rPr>
                <w:rFonts w:ascii="Arial" w:hAnsi="Arial"/>
                <w:sz w:val="13"/>
              </w:rPr>
              <w:t>Interpretable; mirrors human expert diagnostic reasoning</w:t>
            </w:r>
          </w:p>
        </w:tc>
        <w:tc>
          <w:tcPr>
            <w:tcW w:type="dxa" w:w="1242"/>
            <w:tcMar>
              <w:top w:w="40" w:type="dxa"/>
              <w:bottom w:w="40" w:type="dxa"/>
              <w:left w:w="60" w:type="dxa"/>
              <w:right w:w="60" w:type="dxa"/>
            </w:tcMar>
          </w:tcPr>
          <w:p>
            <w:r>
              <w:rPr>
                <w:rFonts w:ascii="Arial" w:hAnsi="Arial"/>
                <w:sz w:val="13"/>
              </w:rPr>
              <w:t>Relied on brittle, handcrafted ontological graphs</w:t>
            </w:r>
          </w:p>
        </w:tc>
        <w:tc>
          <w:tcPr>
            <w:tcW w:type="dxa" w:w="1242"/>
            <w:tcMar>
              <w:top w:w="40" w:type="dxa"/>
              <w:bottom w:w="40" w:type="dxa"/>
              <w:left w:w="60" w:type="dxa"/>
              <w:right w:w="60" w:type="dxa"/>
            </w:tcMar>
          </w:tcPr>
          <w:p>
            <w:r>
              <w:rPr>
                <w:rFonts w:ascii="Arial" w:hAnsi="Arial"/>
                <w:sz w:val="13"/>
              </w:rPr>
              <w:t>Fast Jaccard keyword retrieval over indexed venture deal corpus</w:t>
            </w:r>
          </w:p>
        </w:tc>
      </w:tr>
      <w:tr>
        <w:tc>
          <w:tcPr>
            <w:tcW w:type="dxa" w:w="1242"/>
            <w:tcMar>
              <w:top w:w="40" w:type="dxa"/>
              <w:bottom w:w="40" w:type="dxa"/>
              <w:left w:w="60" w:type="dxa"/>
              <w:right w:w="60" w:type="dxa"/>
            </w:tcMar>
          </w:tcPr>
          <w:p>
            <w:r>
              <w:rPr>
                <w:rFonts w:ascii="Arial" w:hAnsi="Arial"/>
                <w:sz w:val="13"/>
              </w:rPr>
              <w:t>[9]</w:t>
            </w:r>
          </w:p>
        </w:tc>
        <w:tc>
          <w:tcPr>
            <w:tcW w:type="dxa" w:w="1242"/>
            <w:tcMar>
              <w:top w:w="40" w:type="dxa"/>
              <w:bottom w:w="40" w:type="dxa"/>
              <w:left w:w="60" w:type="dxa"/>
              <w:right w:w="60" w:type="dxa"/>
            </w:tcMar>
          </w:tcPr>
          <w:p>
            <w:r>
              <w:rPr>
                <w:rFonts w:ascii="Arial" w:hAnsi="Arial"/>
                <w:sz w:val="13"/>
              </w:rPr>
              <w:t>Lewis et al. (2020)</w:t>
            </w:r>
          </w:p>
        </w:tc>
        <w:tc>
          <w:tcPr>
            <w:tcW w:type="dxa" w:w="1242"/>
            <w:tcMar>
              <w:top w:w="40" w:type="dxa"/>
              <w:bottom w:w="40" w:type="dxa"/>
              <w:left w:w="60" w:type="dxa"/>
              <w:right w:w="60" w:type="dxa"/>
            </w:tcMar>
          </w:tcPr>
          <w:p>
            <w:r>
              <w:rPr>
                <w:rFonts w:ascii="Arial" w:hAnsi="Arial"/>
                <w:sz w:val="13"/>
              </w:rPr>
              <w:t>Retrieval-Augmented Generation for NLP (NeurIPS)</w:t>
            </w:r>
          </w:p>
        </w:tc>
        <w:tc>
          <w:tcPr>
            <w:tcW w:type="dxa" w:w="1242"/>
            <w:tcMar>
              <w:top w:w="40" w:type="dxa"/>
              <w:bottom w:w="40" w:type="dxa"/>
              <w:left w:w="60" w:type="dxa"/>
              <w:right w:w="60" w:type="dxa"/>
            </w:tcMar>
          </w:tcPr>
          <w:p>
            <w:r>
              <w:rPr>
                <w:rFonts w:ascii="Arial" w:hAnsi="Arial"/>
                <w:sz w:val="13"/>
              </w:rPr>
              <w:t>Neural RAG</w:t>
            </w:r>
          </w:p>
        </w:tc>
        <w:tc>
          <w:tcPr>
            <w:tcW w:type="dxa" w:w="1242"/>
            <w:tcMar>
              <w:top w:w="40" w:type="dxa"/>
              <w:bottom w:w="40" w:type="dxa"/>
              <w:left w:w="60" w:type="dxa"/>
              <w:right w:w="60" w:type="dxa"/>
            </w:tcMar>
          </w:tcPr>
          <w:p>
            <w:r>
              <w:rPr>
                <w:rFonts w:ascii="Arial" w:hAnsi="Arial"/>
                <w:sz w:val="13"/>
              </w:rPr>
              <w:t>Dense passage retrieval (DPR) + BART generator</w:t>
            </w:r>
          </w:p>
        </w:tc>
        <w:tc>
          <w:tcPr>
            <w:tcW w:type="dxa" w:w="1242"/>
            <w:tcMar>
              <w:top w:w="40" w:type="dxa"/>
              <w:bottom w:w="40" w:type="dxa"/>
              <w:left w:w="60" w:type="dxa"/>
              <w:right w:w="60" w:type="dxa"/>
            </w:tcMar>
          </w:tcPr>
          <w:p>
            <w:r>
              <w:rPr>
                <w:rFonts w:ascii="Arial" w:hAnsi="Arial"/>
                <w:sz w:val="13"/>
              </w:rPr>
              <w:t>Grounds generative outputs in factual retrieved documents</w:t>
            </w:r>
          </w:p>
        </w:tc>
        <w:tc>
          <w:tcPr>
            <w:tcW w:type="dxa" w:w="1242"/>
            <w:tcMar>
              <w:top w:w="40" w:type="dxa"/>
              <w:bottom w:w="40" w:type="dxa"/>
              <w:left w:w="60" w:type="dxa"/>
              <w:right w:w="60" w:type="dxa"/>
            </w:tcMar>
          </w:tcPr>
          <w:p>
            <w:r>
              <w:rPr>
                <w:rFonts w:ascii="Arial" w:hAnsi="Arial"/>
                <w:sz w:val="13"/>
              </w:rPr>
              <w:t>Multi-GB vector DBs; GPU hosting overhead; high costs</w:t>
            </w:r>
          </w:p>
        </w:tc>
        <w:tc>
          <w:tcPr>
            <w:tcW w:type="dxa" w:w="1242"/>
            <w:tcMar>
              <w:top w:w="40" w:type="dxa"/>
              <w:bottom w:w="40" w:type="dxa"/>
              <w:left w:w="60" w:type="dxa"/>
              <w:right w:w="60" w:type="dxa"/>
            </w:tcMar>
          </w:tcPr>
          <w:p>
            <w:r>
              <w:rPr>
                <w:rFonts w:ascii="Arial" w:hAnsi="Arial"/>
                <w:sz w:val="13"/>
              </w:rPr>
              <w:t>Embedded client-side RAG engine matching deals in &lt;10ms</w:t>
            </w:r>
          </w:p>
        </w:tc>
      </w:tr>
      <w:tr>
        <w:tc>
          <w:tcPr>
            <w:tcW w:type="dxa" w:w="1242"/>
            <w:tcMar>
              <w:top w:w="40" w:type="dxa"/>
              <w:bottom w:w="40" w:type="dxa"/>
              <w:left w:w="60" w:type="dxa"/>
              <w:right w:w="60" w:type="dxa"/>
            </w:tcMar>
          </w:tcPr>
          <w:p>
            <w:r>
              <w:rPr>
                <w:rFonts w:ascii="Arial" w:hAnsi="Arial"/>
                <w:sz w:val="13"/>
              </w:rPr>
              <w:t>[10]</w:t>
            </w:r>
          </w:p>
        </w:tc>
        <w:tc>
          <w:tcPr>
            <w:tcW w:type="dxa" w:w="1242"/>
            <w:tcMar>
              <w:top w:w="40" w:type="dxa"/>
              <w:bottom w:w="40" w:type="dxa"/>
              <w:left w:w="60" w:type="dxa"/>
              <w:right w:w="60" w:type="dxa"/>
            </w:tcMar>
          </w:tcPr>
          <w:p>
            <w:r>
              <w:rPr>
                <w:rFonts w:ascii="Arial" w:hAnsi="Arial"/>
                <w:sz w:val="13"/>
              </w:rPr>
              <w:t>Guu et al. (2020)</w:t>
            </w:r>
          </w:p>
        </w:tc>
        <w:tc>
          <w:tcPr>
            <w:tcW w:type="dxa" w:w="1242"/>
            <w:tcMar>
              <w:top w:w="40" w:type="dxa"/>
              <w:bottom w:w="40" w:type="dxa"/>
              <w:left w:w="60" w:type="dxa"/>
              <w:right w:w="60" w:type="dxa"/>
            </w:tcMar>
          </w:tcPr>
          <w:p>
            <w:r>
              <w:rPr>
                <w:rFonts w:ascii="Arial" w:hAnsi="Arial"/>
                <w:sz w:val="13"/>
              </w:rPr>
              <w:t>REALM: Retrieval-Augmented Pre-training (ICML)</w:t>
            </w:r>
          </w:p>
        </w:tc>
        <w:tc>
          <w:tcPr>
            <w:tcW w:type="dxa" w:w="1242"/>
            <w:tcMar>
              <w:top w:w="40" w:type="dxa"/>
              <w:bottom w:w="40" w:type="dxa"/>
              <w:left w:w="60" w:type="dxa"/>
              <w:right w:w="60" w:type="dxa"/>
            </w:tcMar>
          </w:tcPr>
          <w:p>
            <w:r>
              <w:rPr>
                <w:rFonts w:ascii="Arial" w:hAnsi="Arial"/>
                <w:sz w:val="13"/>
              </w:rPr>
              <w:t>Neural Pre-training</w:t>
            </w:r>
          </w:p>
        </w:tc>
        <w:tc>
          <w:tcPr>
            <w:tcW w:type="dxa" w:w="1242"/>
            <w:tcMar>
              <w:top w:w="40" w:type="dxa"/>
              <w:bottom w:w="40" w:type="dxa"/>
              <w:left w:w="60" w:type="dxa"/>
              <w:right w:w="60" w:type="dxa"/>
            </w:tcMar>
          </w:tcPr>
          <w:p>
            <w:r>
              <w:rPr>
                <w:rFonts w:ascii="Arial" w:hAnsi="Arial"/>
                <w:sz w:val="13"/>
              </w:rPr>
              <w:t>Neural retrieval over masked language modeling</w:t>
            </w:r>
          </w:p>
        </w:tc>
        <w:tc>
          <w:tcPr>
            <w:tcW w:type="dxa" w:w="1242"/>
            <w:tcMar>
              <w:top w:w="40" w:type="dxa"/>
              <w:bottom w:w="40" w:type="dxa"/>
              <w:left w:w="60" w:type="dxa"/>
              <w:right w:w="60" w:type="dxa"/>
            </w:tcMar>
          </w:tcPr>
          <w:p>
            <w:r>
              <w:rPr>
                <w:rFonts w:ascii="Arial" w:hAnsi="Arial"/>
                <w:sz w:val="13"/>
              </w:rPr>
              <w:t>Open-domain QA with verified documentary citation</w:t>
            </w:r>
          </w:p>
        </w:tc>
        <w:tc>
          <w:tcPr>
            <w:tcW w:type="dxa" w:w="1242"/>
            <w:tcMar>
              <w:top w:w="40" w:type="dxa"/>
              <w:bottom w:w="40" w:type="dxa"/>
              <w:left w:w="60" w:type="dxa"/>
              <w:right w:w="60" w:type="dxa"/>
            </w:tcMar>
          </w:tcPr>
          <w:p>
            <w:r>
              <w:rPr>
                <w:rFonts w:ascii="Arial" w:hAnsi="Arial"/>
                <w:sz w:val="13"/>
              </w:rPr>
              <w:t>Black-box weights; massive pre-training cost</w:t>
            </w:r>
          </w:p>
        </w:tc>
        <w:tc>
          <w:tcPr>
            <w:tcW w:type="dxa" w:w="1242"/>
            <w:tcMar>
              <w:top w:w="40" w:type="dxa"/>
              <w:bottom w:w="40" w:type="dxa"/>
              <w:left w:w="60" w:type="dxa"/>
              <w:right w:w="60" w:type="dxa"/>
            </w:tcMar>
          </w:tcPr>
          <w:p>
            <w:r>
              <w:rPr>
                <w:rFonts w:ascii="Arial" w:hAnsi="Arial"/>
                <w:sz w:val="13"/>
              </w:rPr>
              <w:t>Transparent deterministic ranking with explicit similarity metrics</w:t>
            </w:r>
          </w:p>
        </w:tc>
      </w:tr>
      <w:tr>
        <w:tc>
          <w:tcPr>
            <w:tcW w:type="dxa" w:w="1242"/>
            <w:tcMar>
              <w:top w:w="40" w:type="dxa"/>
              <w:bottom w:w="40" w:type="dxa"/>
              <w:left w:w="60" w:type="dxa"/>
              <w:right w:w="60" w:type="dxa"/>
            </w:tcMar>
          </w:tcPr>
          <w:p>
            <w:r>
              <w:rPr>
                <w:rFonts w:ascii="Arial" w:hAnsi="Arial"/>
                <w:sz w:val="13"/>
              </w:rPr>
              <w:t>[11]</w:t>
            </w:r>
          </w:p>
        </w:tc>
        <w:tc>
          <w:tcPr>
            <w:tcW w:type="dxa" w:w="1242"/>
            <w:tcMar>
              <w:top w:w="40" w:type="dxa"/>
              <w:bottom w:w="40" w:type="dxa"/>
              <w:left w:w="60" w:type="dxa"/>
              <w:right w:w="60" w:type="dxa"/>
            </w:tcMar>
          </w:tcPr>
          <w:p>
            <w:r>
              <w:rPr>
                <w:rFonts w:ascii="Arial" w:hAnsi="Arial"/>
                <w:sz w:val="13"/>
              </w:rPr>
              <w:t>Gao et al. (2024)</w:t>
            </w:r>
          </w:p>
        </w:tc>
        <w:tc>
          <w:tcPr>
            <w:tcW w:type="dxa" w:w="1242"/>
            <w:tcMar>
              <w:top w:w="40" w:type="dxa"/>
              <w:bottom w:w="40" w:type="dxa"/>
              <w:left w:w="60" w:type="dxa"/>
              <w:right w:w="60" w:type="dxa"/>
            </w:tcMar>
          </w:tcPr>
          <w:p>
            <w:r>
              <w:rPr>
                <w:rFonts w:ascii="Arial" w:hAnsi="Arial"/>
                <w:sz w:val="13"/>
              </w:rPr>
              <w:t>RAG for LLMs: A Survey (IEEE TKDE)</w:t>
            </w:r>
          </w:p>
        </w:tc>
        <w:tc>
          <w:tcPr>
            <w:tcW w:type="dxa" w:w="1242"/>
            <w:tcMar>
              <w:top w:w="40" w:type="dxa"/>
              <w:bottom w:w="40" w:type="dxa"/>
              <w:left w:w="60" w:type="dxa"/>
              <w:right w:w="60" w:type="dxa"/>
            </w:tcMar>
          </w:tcPr>
          <w:p>
            <w:r>
              <w:rPr>
                <w:rFonts w:ascii="Arial" w:hAnsi="Arial"/>
                <w:sz w:val="13"/>
              </w:rPr>
              <w:t>Advanced RAG</w:t>
            </w:r>
          </w:p>
        </w:tc>
        <w:tc>
          <w:tcPr>
            <w:tcW w:type="dxa" w:w="1242"/>
            <w:tcMar>
              <w:top w:w="40" w:type="dxa"/>
              <w:bottom w:w="40" w:type="dxa"/>
              <w:left w:w="60" w:type="dxa"/>
              <w:right w:w="60" w:type="dxa"/>
            </w:tcMar>
          </w:tcPr>
          <w:p>
            <w:r>
              <w:rPr>
                <w:rFonts w:ascii="Arial" w:hAnsi="Arial"/>
                <w:sz w:val="13"/>
              </w:rPr>
              <w:t>Survey of modular and advanced RAG architectures</w:t>
            </w:r>
          </w:p>
        </w:tc>
        <w:tc>
          <w:tcPr>
            <w:tcW w:type="dxa" w:w="1242"/>
            <w:tcMar>
              <w:top w:w="40" w:type="dxa"/>
              <w:bottom w:w="40" w:type="dxa"/>
              <w:left w:w="60" w:type="dxa"/>
              <w:right w:w="60" w:type="dxa"/>
            </w:tcMar>
          </w:tcPr>
          <w:p>
            <w:r>
              <w:rPr>
                <w:rFonts w:ascii="Arial" w:hAnsi="Arial"/>
                <w:sz w:val="13"/>
              </w:rPr>
              <w:t>Identifies retrieval noise and hallucination mitigations</w:t>
            </w:r>
          </w:p>
        </w:tc>
        <w:tc>
          <w:tcPr>
            <w:tcW w:type="dxa" w:w="1242"/>
            <w:tcMar>
              <w:top w:w="40" w:type="dxa"/>
              <w:bottom w:w="40" w:type="dxa"/>
              <w:left w:w="60" w:type="dxa"/>
              <w:right w:w="60" w:type="dxa"/>
            </w:tcMar>
          </w:tcPr>
          <w:p>
            <w:r>
              <w:rPr>
                <w:rFonts w:ascii="Arial" w:hAnsi="Arial"/>
                <w:sz w:val="13"/>
              </w:rPr>
              <w:t>Focuses on heavy cloud; ignores client-side edge</w:t>
            </w:r>
          </w:p>
        </w:tc>
        <w:tc>
          <w:tcPr>
            <w:tcW w:type="dxa" w:w="1242"/>
            <w:tcMar>
              <w:top w:w="40" w:type="dxa"/>
              <w:bottom w:w="40" w:type="dxa"/>
              <w:left w:w="60" w:type="dxa"/>
              <w:right w:w="60" w:type="dxa"/>
            </w:tcMar>
          </w:tcPr>
          <w:p>
            <w:r>
              <w:rPr>
                <w:rFonts w:ascii="Arial" w:hAnsi="Arial"/>
                <w:sz w:val="13"/>
              </w:rPr>
              <w:t>Zero-dependency edge RAG running entirely inside browser</w:t>
            </w:r>
          </w:p>
        </w:tc>
      </w:tr>
      <w:tr>
        <w:tc>
          <w:tcPr>
            <w:tcW w:type="dxa" w:w="1242"/>
            <w:tcMar>
              <w:top w:w="40" w:type="dxa"/>
              <w:bottom w:w="40" w:type="dxa"/>
              <w:left w:w="60" w:type="dxa"/>
              <w:right w:w="60" w:type="dxa"/>
            </w:tcMar>
          </w:tcPr>
          <w:p>
            <w:r>
              <w:rPr>
                <w:rFonts w:ascii="Arial" w:hAnsi="Arial"/>
                <w:sz w:val="13"/>
              </w:rPr>
              <w:t>[12]</w:t>
            </w:r>
          </w:p>
        </w:tc>
        <w:tc>
          <w:tcPr>
            <w:tcW w:type="dxa" w:w="1242"/>
            <w:tcMar>
              <w:top w:w="40" w:type="dxa"/>
              <w:bottom w:w="40" w:type="dxa"/>
              <w:left w:w="60" w:type="dxa"/>
              <w:right w:w="60" w:type="dxa"/>
            </w:tcMar>
          </w:tcPr>
          <w:p>
            <w:r>
              <w:rPr>
                <w:rFonts w:ascii="Arial" w:hAnsi="Arial"/>
                <w:sz w:val="13"/>
              </w:rPr>
              <w:t>Warschauer &amp; Ware (2006)</w:t>
            </w:r>
          </w:p>
        </w:tc>
        <w:tc>
          <w:tcPr>
            <w:tcW w:type="dxa" w:w="1242"/>
            <w:tcMar>
              <w:top w:w="40" w:type="dxa"/>
              <w:bottom w:w="40" w:type="dxa"/>
              <w:left w:w="60" w:type="dxa"/>
              <w:right w:w="60" w:type="dxa"/>
            </w:tcMar>
          </w:tcPr>
          <w:p>
            <w:r>
              <w:rPr>
                <w:rFonts w:ascii="Arial" w:hAnsi="Arial"/>
                <w:sz w:val="13"/>
              </w:rPr>
              <w:t>Automated Writing Evaluation in Education (LTR)</w:t>
            </w:r>
          </w:p>
        </w:tc>
        <w:tc>
          <w:tcPr>
            <w:tcW w:type="dxa" w:w="1242"/>
            <w:tcMar>
              <w:top w:w="40" w:type="dxa"/>
              <w:bottom w:w="40" w:type="dxa"/>
              <w:left w:w="60" w:type="dxa"/>
              <w:right w:w="60" w:type="dxa"/>
            </w:tcMar>
          </w:tcPr>
          <w:p>
            <w:r>
              <w:rPr>
                <w:rFonts w:ascii="Arial" w:hAnsi="Arial"/>
                <w:sz w:val="13"/>
              </w:rPr>
              <w:t>Formative AWE</w:t>
            </w:r>
          </w:p>
        </w:tc>
        <w:tc>
          <w:tcPr>
            <w:tcW w:type="dxa" w:w="1242"/>
            <w:tcMar>
              <w:top w:w="40" w:type="dxa"/>
              <w:bottom w:w="40" w:type="dxa"/>
              <w:left w:w="60" w:type="dxa"/>
              <w:right w:w="60" w:type="dxa"/>
            </w:tcMar>
          </w:tcPr>
          <w:p>
            <w:r>
              <w:rPr>
                <w:rFonts w:ascii="Arial" w:hAnsi="Arial"/>
                <w:sz w:val="13"/>
              </w:rPr>
              <w:t>Formative vs. summative diagnostic feedback comparison</w:t>
            </w:r>
          </w:p>
        </w:tc>
        <w:tc>
          <w:tcPr>
            <w:tcW w:type="dxa" w:w="1242"/>
            <w:tcMar>
              <w:top w:w="40" w:type="dxa"/>
              <w:bottom w:w="40" w:type="dxa"/>
              <w:left w:w="60" w:type="dxa"/>
              <w:right w:w="60" w:type="dxa"/>
            </w:tcMar>
          </w:tcPr>
          <w:p>
            <w:r>
              <w:rPr>
                <w:rFonts w:ascii="Arial" w:hAnsi="Arial"/>
                <w:sz w:val="13"/>
              </w:rPr>
              <w:t>Proves formative correction yields 42% higher revision efficacy</w:t>
            </w:r>
          </w:p>
        </w:tc>
        <w:tc>
          <w:tcPr>
            <w:tcW w:type="dxa" w:w="1242"/>
            <w:tcMar>
              <w:top w:w="40" w:type="dxa"/>
              <w:bottom w:w="40" w:type="dxa"/>
              <w:left w:w="60" w:type="dxa"/>
              <w:right w:w="60" w:type="dxa"/>
            </w:tcMar>
          </w:tcPr>
          <w:p>
            <w:r>
              <w:rPr>
                <w:rFonts w:ascii="Arial" w:hAnsi="Arial"/>
                <w:sz w:val="13"/>
              </w:rPr>
              <w:t>Focuses on generic school grammar, not commercial persuasion</w:t>
            </w:r>
          </w:p>
        </w:tc>
        <w:tc>
          <w:tcPr>
            <w:tcW w:type="dxa" w:w="1242"/>
            <w:tcMar>
              <w:top w:w="40" w:type="dxa"/>
              <w:bottom w:w="40" w:type="dxa"/>
              <w:left w:w="60" w:type="dxa"/>
              <w:right w:w="60" w:type="dxa"/>
            </w:tcMar>
          </w:tcPr>
          <w:p>
            <w:r>
              <w:rPr>
                <w:rFonts w:ascii="Arial" w:hAnsi="Arial"/>
                <w:sz w:val="13"/>
              </w:rPr>
              <w:t>Custom venture diagnostics: Hook brevity, Unit Economics, CTA</w:t>
            </w:r>
          </w:p>
        </w:tc>
      </w:tr>
      <w:tr>
        <w:tc>
          <w:tcPr>
            <w:tcW w:type="dxa" w:w="1242"/>
            <w:tcMar>
              <w:top w:w="40" w:type="dxa"/>
              <w:bottom w:w="40" w:type="dxa"/>
              <w:left w:w="60" w:type="dxa"/>
              <w:right w:w="60" w:type="dxa"/>
            </w:tcMar>
          </w:tcPr>
          <w:p>
            <w:r>
              <w:rPr>
                <w:rFonts w:ascii="Arial" w:hAnsi="Arial"/>
                <w:sz w:val="13"/>
              </w:rPr>
              <w:t>[13]</w:t>
            </w:r>
          </w:p>
        </w:tc>
        <w:tc>
          <w:tcPr>
            <w:tcW w:type="dxa" w:w="1242"/>
            <w:tcMar>
              <w:top w:w="40" w:type="dxa"/>
              <w:bottom w:w="40" w:type="dxa"/>
              <w:left w:w="60" w:type="dxa"/>
              <w:right w:w="60" w:type="dxa"/>
            </w:tcMar>
          </w:tcPr>
          <w:p>
            <w:r>
              <w:rPr>
                <w:rFonts w:ascii="Arial" w:hAnsi="Arial"/>
                <w:sz w:val="13"/>
              </w:rPr>
              <w:t>Attali &amp; Burstein (2006)</w:t>
            </w:r>
          </w:p>
        </w:tc>
        <w:tc>
          <w:tcPr>
            <w:tcW w:type="dxa" w:w="1242"/>
            <w:tcMar>
              <w:top w:w="40" w:type="dxa"/>
              <w:bottom w:w="40" w:type="dxa"/>
              <w:left w:w="60" w:type="dxa"/>
              <w:right w:w="60" w:type="dxa"/>
            </w:tcMar>
          </w:tcPr>
          <w:p>
            <w:r>
              <w:rPr>
                <w:rFonts w:ascii="Arial" w:hAnsi="Arial"/>
                <w:sz w:val="13"/>
              </w:rPr>
              <w:t>Automated Essay Scoring with E-rater (JTLA)</w:t>
            </w:r>
          </w:p>
        </w:tc>
        <w:tc>
          <w:tcPr>
            <w:tcW w:type="dxa" w:w="1242"/>
            <w:tcMar>
              <w:top w:w="40" w:type="dxa"/>
              <w:bottom w:w="40" w:type="dxa"/>
              <w:left w:w="60" w:type="dxa"/>
              <w:right w:w="60" w:type="dxa"/>
            </w:tcMar>
          </w:tcPr>
          <w:p>
            <w:r>
              <w:rPr>
                <w:rFonts w:ascii="Arial" w:hAnsi="Arial"/>
                <w:sz w:val="13"/>
              </w:rPr>
              <w:t>Statistical Scoring</w:t>
            </w:r>
          </w:p>
        </w:tc>
        <w:tc>
          <w:tcPr>
            <w:tcW w:type="dxa" w:w="1242"/>
            <w:tcMar>
              <w:top w:w="40" w:type="dxa"/>
              <w:bottom w:w="40" w:type="dxa"/>
              <w:left w:w="60" w:type="dxa"/>
              <w:right w:w="60" w:type="dxa"/>
            </w:tcMar>
          </w:tcPr>
          <w:p>
            <w:r>
              <w:rPr>
                <w:rFonts w:ascii="Arial" w:hAnsi="Arial"/>
                <w:sz w:val="13"/>
              </w:rPr>
              <w:t>Statistical discourse analysis and vocabulary metrics</w:t>
            </w:r>
          </w:p>
        </w:tc>
        <w:tc>
          <w:tcPr>
            <w:tcW w:type="dxa" w:w="1242"/>
            <w:tcMar>
              <w:top w:w="40" w:type="dxa"/>
              <w:bottom w:w="40" w:type="dxa"/>
              <w:left w:w="60" w:type="dxa"/>
              <w:right w:w="60" w:type="dxa"/>
            </w:tcMar>
          </w:tcPr>
          <w:p>
            <w:r>
              <w:rPr>
                <w:rFonts w:ascii="Arial" w:hAnsi="Arial"/>
                <w:sz w:val="13"/>
              </w:rPr>
              <w:t>Standardized, objective scoring across large cohorts</w:t>
            </w:r>
          </w:p>
        </w:tc>
        <w:tc>
          <w:tcPr>
            <w:tcW w:type="dxa" w:w="1242"/>
            <w:tcMar>
              <w:top w:w="40" w:type="dxa"/>
              <w:bottom w:w="40" w:type="dxa"/>
              <w:left w:w="60" w:type="dxa"/>
              <w:right w:w="60" w:type="dxa"/>
            </w:tcMar>
          </w:tcPr>
          <w:p>
            <w:r>
              <w:rPr>
                <w:rFonts w:ascii="Arial" w:hAnsi="Arial"/>
                <w:sz w:val="13"/>
              </w:rPr>
              <w:t>Biased toward sentence length; penalizes concise pitches</w:t>
            </w:r>
          </w:p>
        </w:tc>
        <w:tc>
          <w:tcPr>
            <w:tcW w:type="dxa" w:w="1242"/>
            <w:tcMar>
              <w:top w:w="40" w:type="dxa"/>
              <w:bottom w:w="40" w:type="dxa"/>
              <w:left w:w="60" w:type="dxa"/>
              <w:right w:w="60" w:type="dxa"/>
            </w:tcMar>
          </w:tcPr>
          <w:p>
            <w:r>
              <w:rPr>
                <w:rFonts w:ascii="Arial" w:hAnsi="Arial"/>
                <w:sz w:val="13"/>
              </w:rPr>
              <w:t>Rewards brevity in opening hooks (&lt;=12 words) and penalizes fluff</w:t>
            </w:r>
          </w:p>
        </w:tc>
      </w:tr>
      <w:tr>
        <w:tc>
          <w:tcPr>
            <w:tcW w:type="dxa" w:w="1242"/>
            <w:tcMar>
              <w:top w:w="40" w:type="dxa"/>
              <w:bottom w:w="40" w:type="dxa"/>
              <w:left w:w="60" w:type="dxa"/>
              <w:right w:w="60" w:type="dxa"/>
            </w:tcMar>
          </w:tcPr>
          <w:p>
            <w:r>
              <w:rPr>
                <w:rFonts w:ascii="Arial" w:hAnsi="Arial"/>
                <w:sz w:val="13"/>
              </w:rPr>
              <w:t>[14]</w:t>
            </w:r>
          </w:p>
        </w:tc>
        <w:tc>
          <w:tcPr>
            <w:tcW w:type="dxa" w:w="1242"/>
            <w:tcMar>
              <w:top w:w="40" w:type="dxa"/>
              <w:bottom w:w="40" w:type="dxa"/>
              <w:left w:w="60" w:type="dxa"/>
              <w:right w:w="60" w:type="dxa"/>
            </w:tcMar>
          </w:tcPr>
          <w:p>
            <w:r>
              <w:rPr>
                <w:rFonts w:ascii="Arial" w:hAnsi="Arial"/>
                <w:sz w:val="13"/>
              </w:rPr>
              <w:t>Reiter &amp; Dale (2000)</w:t>
            </w:r>
          </w:p>
        </w:tc>
        <w:tc>
          <w:tcPr>
            <w:tcW w:type="dxa" w:w="1242"/>
            <w:tcMar>
              <w:top w:w="40" w:type="dxa"/>
              <w:bottom w:w="40" w:type="dxa"/>
              <w:left w:w="60" w:type="dxa"/>
              <w:right w:w="60" w:type="dxa"/>
            </w:tcMar>
          </w:tcPr>
          <w:p>
            <w:r>
              <w:rPr>
                <w:rFonts w:ascii="Arial" w:hAnsi="Arial"/>
                <w:sz w:val="13"/>
              </w:rPr>
              <w:t>Building NLG Systems (Cambridge)</w:t>
            </w:r>
          </w:p>
        </w:tc>
        <w:tc>
          <w:tcPr>
            <w:tcW w:type="dxa" w:w="1242"/>
            <w:tcMar>
              <w:top w:w="40" w:type="dxa"/>
              <w:bottom w:w="40" w:type="dxa"/>
              <w:left w:w="60" w:type="dxa"/>
              <w:right w:w="60" w:type="dxa"/>
            </w:tcMar>
          </w:tcPr>
          <w:p>
            <w:r>
              <w:rPr>
                <w:rFonts w:ascii="Arial" w:hAnsi="Arial"/>
                <w:sz w:val="13"/>
              </w:rPr>
              <w:t>Rule-Based NLG</w:t>
            </w:r>
          </w:p>
        </w:tc>
        <w:tc>
          <w:tcPr>
            <w:tcW w:type="dxa" w:w="1242"/>
            <w:tcMar>
              <w:top w:w="40" w:type="dxa"/>
              <w:bottom w:w="40" w:type="dxa"/>
              <w:left w:w="60" w:type="dxa"/>
              <w:right w:w="60" w:type="dxa"/>
            </w:tcMar>
          </w:tcPr>
          <w:p>
            <w:r>
              <w:rPr>
                <w:rFonts w:ascii="Arial" w:hAnsi="Arial"/>
                <w:sz w:val="13"/>
              </w:rPr>
              <w:t>NLG pipeline: Planning, microplanning, realization</w:t>
            </w:r>
          </w:p>
        </w:tc>
        <w:tc>
          <w:tcPr>
            <w:tcW w:type="dxa" w:w="1242"/>
            <w:tcMar>
              <w:top w:w="40" w:type="dxa"/>
              <w:bottom w:w="40" w:type="dxa"/>
              <w:left w:w="60" w:type="dxa"/>
              <w:right w:w="60" w:type="dxa"/>
            </w:tcMar>
          </w:tcPr>
          <w:p>
            <w:r>
              <w:rPr>
                <w:rFonts w:ascii="Arial" w:hAnsi="Arial"/>
                <w:sz w:val="13"/>
              </w:rPr>
              <w:t>100% factual determinism, zero hallucinations</w:t>
            </w:r>
          </w:p>
        </w:tc>
        <w:tc>
          <w:tcPr>
            <w:tcW w:type="dxa" w:w="1242"/>
            <w:tcMar>
              <w:top w:w="40" w:type="dxa"/>
              <w:bottom w:w="40" w:type="dxa"/>
              <w:left w:w="60" w:type="dxa"/>
              <w:right w:w="60" w:type="dxa"/>
            </w:tcMar>
          </w:tcPr>
          <w:p>
            <w:r>
              <w:rPr>
                <w:rFonts w:ascii="Arial" w:hAnsi="Arial"/>
                <w:sz w:val="13"/>
              </w:rPr>
              <w:t>Can feel rigid if templates lack lexical variability</w:t>
            </w:r>
          </w:p>
        </w:tc>
        <w:tc>
          <w:tcPr>
            <w:tcW w:type="dxa" w:w="1242"/>
            <w:tcMar>
              <w:top w:w="40" w:type="dxa"/>
              <w:bottom w:w="40" w:type="dxa"/>
              <w:left w:w="60" w:type="dxa"/>
              <w:right w:w="60" w:type="dxa"/>
            </w:tcMar>
          </w:tcPr>
          <w:p>
            <w:r>
              <w:rPr>
                <w:rFonts w:ascii="Arial" w:hAnsi="Arial"/>
                <w:sz w:val="13"/>
              </w:rPr>
              <w:t>Dynamic entity extraction for tailored 5-part pitch rewrite</w:t>
            </w:r>
          </w:p>
        </w:tc>
      </w:tr>
      <w:tr>
        <w:tc>
          <w:tcPr>
            <w:tcW w:type="dxa" w:w="1242"/>
            <w:tcMar>
              <w:top w:w="40" w:type="dxa"/>
              <w:bottom w:w="40" w:type="dxa"/>
              <w:left w:w="60" w:type="dxa"/>
              <w:right w:w="60" w:type="dxa"/>
            </w:tcMar>
          </w:tcPr>
          <w:p>
            <w:r>
              <w:rPr>
                <w:rFonts w:ascii="Arial" w:hAnsi="Arial"/>
                <w:sz w:val="13"/>
              </w:rPr>
              <w:t>[15]</w:t>
            </w:r>
          </w:p>
        </w:tc>
        <w:tc>
          <w:tcPr>
            <w:tcW w:type="dxa" w:w="1242"/>
            <w:tcMar>
              <w:top w:w="40" w:type="dxa"/>
              <w:bottom w:w="40" w:type="dxa"/>
              <w:left w:w="60" w:type="dxa"/>
              <w:right w:w="60" w:type="dxa"/>
            </w:tcMar>
          </w:tcPr>
          <w:p>
            <w:r>
              <w:rPr>
                <w:rFonts w:ascii="Arial" w:hAnsi="Arial"/>
                <w:sz w:val="13"/>
              </w:rPr>
              <w:t>Gatt &amp; Krahmer (2018)</w:t>
            </w:r>
          </w:p>
        </w:tc>
        <w:tc>
          <w:tcPr>
            <w:tcW w:type="dxa" w:w="1242"/>
            <w:tcMar>
              <w:top w:w="40" w:type="dxa"/>
              <w:bottom w:w="40" w:type="dxa"/>
              <w:left w:w="60" w:type="dxa"/>
              <w:right w:w="60" w:type="dxa"/>
            </w:tcMar>
          </w:tcPr>
          <w:p>
            <w:r>
              <w:rPr>
                <w:rFonts w:ascii="Arial" w:hAnsi="Arial"/>
                <w:sz w:val="13"/>
              </w:rPr>
              <w:t>Survey of NLG Systems (JAIR)</w:t>
            </w:r>
          </w:p>
        </w:tc>
        <w:tc>
          <w:tcPr>
            <w:tcW w:type="dxa" w:w="1242"/>
            <w:tcMar>
              <w:top w:w="40" w:type="dxa"/>
              <w:bottom w:w="40" w:type="dxa"/>
              <w:left w:w="60" w:type="dxa"/>
              <w:right w:w="60" w:type="dxa"/>
            </w:tcMar>
          </w:tcPr>
          <w:p>
            <w:r>
              <w:rPr>
                <w:rFonts w:ascii="Arial" w:hAnsi="Arial"/>
                <w:sz w:val="13"/>
              </w:rPr>
              <w:t>NLG Survey</w:t>
            </w:r>
          </w:p>
        </w:tc>
        <w:tc>
          <w:tcPr>
            <w:tcW w:type="dxa" w:w="1242"/>
            <w:tcMar>
              <w:top w:w="40" w:type="dxa"/>
              <w:bottom w:w="40" w:type="dxa"/>
              <w:left w:w="60" w:type="dxa"/>
              <w:right w:w="60" w:type="dxa"/>
            </w:tcMar>
          </w:tcPr>
          <w:p>
            <w:r>
              <w:rPr>
                <w:rFonts w:ascii="Arial" w:hAnsi="Arial"/>
                <w:sz w:val="13"/>
              </w:rPr>
              <w:t>Multi-paradigm review of statistical and neural NLG</w:t>
            </w:r>
          </w:p>
        </w:tc>
        <w:tc>
          <w:tcPr>
            <w:tcW w:type="dxa" w:w="1242"/>
            <w:tcMar>
              <w:top w:w="40" w:type="dxa"/>
              <w:bottom w:w="40" w:type="dxa"/>
              <w:left w:w="60" w:type="dxa"/>
              <w:right w:w="60" w:type="dxa"/>
            </w:tcMar>
          </w:tcPr>
          <w:p>
            <w:r>
              <w:rPr>
                <w:rFonts w:ascii="Arial" w:hAnsi="Arial"/>
                <w:sz w:val="13"/>
              </w:rPr>
              <w:t>Clarifies fluency vs. factual fidelity trade-offs</w:t>
            </w:r>
          </w:p>
        </w:tc>
        <w:tc>
          <w:tcPr>
            <w:tcW w:type="dxa" w:w="1242"/>
            <w:tcMar>
              <w:top w:w="40" w:type="dxa"/>
              <w:bottom w:w="40" w:type="dxa"/>
              <w:left w:w="60" w:type="dxa"/>
              <w:right w:w="60" w:type="dxa"/>
            </w:tcMar>
          </w:tcPr>
          <w:p>
            <w:r>
              <w:rPr>
                <w:rFonts w:ascii="Arial" w:hAnsi="Arial"/>
                <w:sz w:val="13"/>
              </w:rPr>
              <w:t>Highlights severe risk of unconstrained hallucinations</w:t>
            </w:r>
          </w:p>
        </w:tc>
        <w:tc>
          <w:tcPr>
            <w:tcW w:type="dxa" w:w="1242"/>
            <w:tcMar>
              <w:top w:w="40" w:type="dxa"/>
              <w:bottom w:w="40" w:type="dxa"/>
              <w:left w:w="60" w:type="dxa"/>
              <w:right w:w="60" w:type="dxa"/>
            </w:tcMar>
          </w:tcPr>
          <w:p>
            <w:r>
              <w:rPr>
                <w:rFonts w:ascii="Arial" w:hAnsi="Arial"/>
                <w:sz w:val="13"/>
              </w:rPr>
              <w:t>Slot-filling template NLG guaranteeing 0% hallucination</w:t>
            </w:r>
          </w:p>
        </w:tc>
      </w:tr>
      <w:tr>
        <w:tc>
          <w:tcPr>
            <w:tcW w:type="dxa" w:w="1242"/>
            <w:tcMar>
              <w:top w:w="40" w:type="dxa"/>
              <w:bottom w:w="40" w:type="dxa"/>
              <w:left w:w="60" w:type="dxa"/>
              <w:right w:w="60" w:type="dxa"/>
            </w:tcMar>
          </w:tcPr>
          <w:p>
            <w:r>
              <w:rPr>
                <w:rFonts w:ascii="Arial" w:hAnsi="Arial"/>
                <w:sz w:val="13"/>
              </w:rPr>
              <w:t>[16]</w:t>
            </w:r>
          </w:p>
        </w:tc>
        <w:tc>
          <w:tcPr>
            <w:tcW w:type="dxa" w:w="1242"/>
            <w:tcMar>
              <w:top w:w="40" w:type="dxa"/>
              <w:bottom w:w="40" w:type="dxa"/>
              <w:left w:w="60" w:type="dxa"/>
              <w:right w:w="60" w:type="dxa"/>
            </w:tcMar>
          </w:tcPr>
          <w:p>
            <w:r>
              <w:rPr>
                <w:rFonts w:ascii="Arial" w:hAnsi="Arial"/>
                <w:sz w:val="13"/>
              </w:rPr>
              <w:t>Sharma et al. (2023)</w:t>
            </w:r>
          </w:p>
        </w:tc>
        <w:tc>
          <w:tcPr>
            <w:tcW w:type="dxa" w:w="1242"/>
            <w:tcMar>
              <w:top w:w="40" w:type="dxa"/>
              <w:bottom w:w="40" w:type="dxa"/>
              <w:left w:w="60" w:type="dxa"/>
              <w:right w:w="60" w:type="dxa"/>
            </w:tcMar>
          </w:tcPr>
          <w:p>
            <w:r>
              <w:rPr>
                <w:rFonts w:ascii="Arial" w:hAnsi="Arial"/>
                <w:sz w:val="13"/>
              </w:rPr>
              <w:t>Understanding Sycophancy in LLMs (EMNLP)</w:t>
            </w:r>
          </w:p>
        </w:tc>
        <w:tc>
          <w:tcPr>
            <w:tcW w:type="dxa" w:w="1242"/>
            <w:tcMar>
              <w:top w:w="40" w:type="dxa"/>
              <w:bottom w:w="40" w:type="dxa"/>
              <w:left w:w="60" w:type="dxa"/>
              <w:right w:w="60" w:type="dxa"/>
            </w:tcMar>
          </w:tcPr>
          <w:p>
            <w:r>
              <w:rPr>
                <w:rFonts w:ascii="Arial" w:hAnsi="Arial"/>
                <w:sz w:val="13"/>
              </w:rPr>
              <w:t>Model Sycophancy</w:t>
            </w:r>
          </w:p>
        </w:tc>
        <w:tc>
          <w:tcPr>
            <w:tcW w:type="dxa" w:w="1242"/>
            <w:tcMar>
              <w:top w:w="40" w:type="dxa"/>
              <w:bottom w:w="40" w:type="dxa"/>
              <w:left w:w="60" w:type="dxa"/>
              <w:right w:w="60" w:type="dxa"/>
            </w:tcMar>
          </w:tcPr>
          <w:p>
            <w:r>
              <w:rPr>
                <w:rFonts w:ascii="Arial" w:hAnsi="Arial"/>
                <w:sz w:val="13"/>
              </w:rPr>
              <w:t>Behavioral testing of RLHF-aligned models</w:t>
            </w:r>
          </w:p>
        </w:tc>
        <w:tc>
          <w:tcPr>
            <w:tcW w:type="dxa" w:w="1242"/>
            <w:tcMar>
              <w:top w:w="40" w:type="dxa"/>
              <w:bottom w:w="40" w:type="dxa"/>
              <w:left w:w="60" w:type="dxa"/>
              <w:right w:w="60" w:type="dxa"/>
            </w:tcMar>
          </w:tcPr>
          <w:p>
            <w:r>
              <w:rPr>
                <w:rFonts w:ascii="Arial" w:hAnsi="Arial"/>
                <w:sz w:val="13"/>
              </w:rPr>
              <w:t>Discloses that LLMs echo user bias with flattering praise</w:t>
            </w:r>
          </w:p>
        </w:tc>
        <w:tc>
          <w:tcPr>
            <w:tcW w:type="dxa" w:w="1242"/>
            <w:tcMar>
              <w:top w:w="40" w:type="dxa"/>
              <w:bottom w:w="40" w:type="dxa"/>
              <w:left w:w="60" w:type="dxa"/>
              <w:right w:w="60" w:type="dxa"/>
            </w:tcMar>
          </w:tcPr>
          <w:p>
            <w:r>
              <w:rPr>
                <w:rFonts w:ascii="Arial" w:hAnsi="Arial"/>
                <w:sz w:val="13"/>
              </w:rPr>
              <w:t>LLMs cannot be trusted for candid investor critique</w:t>
            </w:r>
          </w:p>
        </w:tc>
        <w:tc>
          <w:tcPr>
            <w:tcW w:type="dxa" w:w="1242"/>
            <w:tcMar>
              <w:top w:w="40" w:type="dxa"/>
              <w:bottom w:w="40" w:type="dxa"/>
              <w:left w:w="60" w:type="dxa"/>
              <w:right w:w="60" w:type="dxa"/>
            </w:tcMar>
          </w:tcPr>
          <w:p>
            <w:r>
              <w:rPr>
                <w:rFonts w:ascii="Arial" w:hAnsi="Arial"/>
                <w:sz w:val="13"/>
              </w:rPr>
              <w:t>Strict, unsycophantic matrix: heavily penalizes zero traction</w:t>
            </w:r>
          </w:p>
        </w:tc>
      </w:tr>
      <w:tr>
        <w:tc>
          <w:tcPr>
            <w:tcW w:type="dxa" w:w="1242"/>
            <w:tcMar>
              <w:top w:w="40" w:type="dxa"/>
              <w:bottom w:w="40" w:type="dxa"/>
              <w:left w:w="60" w:type="dxa"/>
              <w:right w:w="60" w:type="dxa"/>
            </w:tcMar>
          </w:tcPr>
          <w:p>
            <w:r>
              <w:rPr>
                <w:rFonts w:ascii="Arial" w:hAnsi="Arial"/>
                <w:sz w:val="13"/>
              </w:rPr>
              <w:t>[17]</w:t>
            </w:r>
          </w:p>
        </w:tc>
        <w:tc>
          <w:tcPr>
            <w:tcW w:type="dxa" w:w="1242"/>
            <w:tcMar>
              <w:top w:w="40" w:type="dxa"/>
              <w:bottom w:w="40" w:type="dxa"/>
              <w:left w:w="60" w:type="dxa"/>
              <w:right w:w="60" w:type="dxa"/>
            </w:tcMar>
          </w:tcPr>
          <w:p>
            <w:r>
              <w:rPr>
                <w:rFonts w:ascii="Arial" w:hAnsi="Arial"/>
                <w:sz w:val="13"/>
              </w:rPr>
              <w:t>Wei et al. (2023)</w:t>
            </w:r>
          </w:p>
        </w:tc>
        <w:tc>
          <w:tcPr>
            <w:tcW w:type="dxa" w:w="1242"/>
            <w:tcMar>
              <w:top w:w="40" w:type="dxa"/>
              <w:bottom w:w="40" w:type="dxa"/>
              <w:left w:w="60" w:type="dxa"/>
              <w:right w:w="60" w:type="dxa"/>
            </w:tcMar>
          </w:tcPr>
          <w:p>
            <w:r>
              <w:rPr>
                <w:rFonts w:ascii="Arial" w:hAnsi="Arial"/>
                <w:sz w:val="13"/>
              </w:rPr>
              <w:t>Measuring Bias in LLM Reasoning (NeurIPS)</w:t>
            </w:r>
          </w:p>
        </w:tc>
        <w:tc>
          <w:tcPr>
            <w:tcW w:type="dxa" w:w="1242"/>
            <w:tcMar>
              <w:top w:w="40" w:type="dxa"/>
              <w:bottom w:w="40" w:type="dxa"/>
              <w:left w:w="60" w:type="dxa"/>
              <w:right w:w="60" w:type="dxa"/>
            </w:tcMar>
          </w:tcPr>
          <w:p>
            <w:r>
              <w:rPr>
                <w:rFonts w:ascii="Arial" w:hAnsi="Arial"/>
                <w:sz w:val="13"/>
              </w:rPr>
              <w:t>Reasoning Bias</w:t>
            </w:r>
          </w:p>
        </w:tc>
        <w:tc>
          <w:tcPr>
            <w:tcW w:type="dxa" w:w="1242"/>
            <w:tcMar>
              <w:top w:w="40" w:type="dxa"/>
              <w:bottom w:w="40" w:type="dxa"/>
              <w:left w:w="60" w:type="dxa"/>
              <w:right w:w="60" w:type="dxa"/>
            </w:tcMar>
          </w:tcPr>
          <w:p>
            <w:r>
              <w:rPr>
                <w:rFonts w:ascii="Arial" w:hAnsi="Arial"/>
                <w:sz w:val="13"/>
              </w:rPr>
              <w:t>Empirical testing of chain-of-thought consistency</w:t>
            </w:r>
          </w:p>
        </w:tc>
        <w:tc>
          <w:tcPr>
            <w:tcW w:type="dxa" w:w="1242"/>
            <w:tcMar>
              <w:top w:w="40" w:type="dxa"/>
              <w:bottom w:w="40" w:type="dxa"/>
              <w:left w:w="60" w:type="dxa"/>
              <w:right w:w="60" w:type="dxa"/>
            </w:tcMar>
          </w:tcPr>
          <w:p>
            <w:r>
              <w:rPr>
                <w:rFonts w:ascii="Arial" w:hAnsi="Arial"/>
                <w:sz w:val="13"/>
              </w:rPr>
              <w:t>Highlights sensitivity to prompt variations and temperature</w:t>
            </w:r>
          </w:p>
        </w:tc>
        <w:tc>
          <w:tcPr>
            <w:tcW w:type="dxa" w:w="1242"/>
            <w:tcMar>
              <w:top w:w="40" w:type="dxa"/>
              <w:bottom w:w="40" w:type="dxa"/>
              <w:left w:w="60" w:type="dxa"/>
              <w:right w:w="60" w:type="dxa"/>
            </w:tcMar>
          </w:tcPr>
          <w:p>
            <w:r>
              <w:rPr>
                <w:rFonts w:ascii="Arial" w:hAnsi="Arial"/>
                <w:sz w:val="13"/>
              </w:rPr>
              <w:t>Non-deterministic outputs make fair grading impossible</w:t>
            </w:r>
          </w:p>
        </w:tc>
        <w:tc>
          <w:tcPr>
            <w:tcW w:type="dxa" w:w="1242"/>
            <w:tcMar>
              <w:top w:w="40" w:type="dxa"/>
              <w:bottom w:w="40" w:type="dxa"/>
              <w:left w:w="60" w:type="dxa"/>
              <w:right w:w="60" w:type="dxa"/>
            </w:tcMar>
          </w:tcPr>
          <w:p>
            <w:r>
              <w:rPr>
                <w:rFonts w:ascii="Arial" w:hAnsi="Arial"/>
                <w:sz w:val="13"/>
              </w:rPr>
              <w:t>100% deterministic mathematical formula with zero score drift</w:t>
            </w:r>
          </w:p>
        </w:tc>
      </w:tr>
      <w:tr>
        <w:tc>
          <w:tcPr>
            <w:tcW w:type="dxa" w:w="1242"/>
            <w:tcMar>
              <w:top w:w="40" w:type="dxa"/>
              <w:bottom w:w="40" w:type="dxa"/>
              <w:left w:w="60" w:type="dxa"/>
              <w:right w:w="60" w:type="dxa"/>
            </w:tcMar>
          </w:tcPr>
          <w:p>
            <w:r>
              <w:rPr>
                <w:rFonts w:ascii="Arial" w:hAnsi="Arial"/>
                <w:sz w:val="13"/>
              </w:rPr>
              <w:t>[18]</w:t>
            </w:r>
          </w:p>
        </w:tc>
        <w:tc>
          <w:tcPr>
            <w:tcW w:type="dxa" w:w="1242"/>
            <w:tcMar>
              <w:top w:w="40" w:type="dxa"/>
              <w:bottom w:w="40" w:type="dxa"/>
              <w:left w:w="60" w:type="dxa"/>
              <w:right w:w="60" w:type="dxa"/>
            </w:tcMar>
          </w:tcPr>
          <w:p>
            <w:r>
              <w:rPr>
                <w:rFonts w:ascii="Arial" w:hAnsi="Arial"/>
                <w:sz w:val="13"/>
              </w:rPr>
              <w:t>Chen &amp; Patel (2024)</w:t>
            </w:r>
          </w:p>
        </w:tc>
        <w:tc>
          <w:tcPr>
            <w:tcW w:type="dxa" w:w="1242"/>
            <w:tcMar>
              <w:top w:w="40" w:type="dxa"/>
              <w:bottom w:w="40" w:type="dxa"/>
              <w:left w:w="60" w:type="dxa"/>
              <w:right w:w="60" w:type="dxa"/>
            </w:tcMar>
          </w:tcPr>
          <w:p>
            <w:r>
              <w:rPr>
                <w:rFonts w:ascii="Arial" w:hAnsi="Arial"/>
                <w:sz w:val="13"/>
              </w:rPr>
              <w:t>Benchmarking LLMs as Oral Evaluators (ACM TOCE)</w:t>
            </w:r>
          </w:p>
        </w:tc>
        <w:tc>
          <w:tcPr>
            <w:tcW w:type="dxa" w:w="1242"/>
            <w:tcMar>
              <w:top w:w="40" w:type="dxa"/>
              <w:bottom w:w="40" w:type="dxa"/>
              <w:left w:w="60" w:type="dxa"/>
              <w:right w:w="60" w:type="dxa"/>
            </w:tcMar>
          </w:tcPr>
          <w:p>
            <w:r>
              <w:rPr>
                <w:rFonts w:ascii="Arial" w:hAnsi="Arial"/>
                <w:sz w:val="13"/>
              </w:rPr>
              <w:t>Educational LLMs</w:t>
            </w:r>
          </w:p>
        </w:tc>
        <w:tc>
          <w:tcPr>
            <w:tcW w:type="dxa" w:w="1242"/>
            <w:tcMar>
              <w:top w:w="40" w:type="dxa"/>
              <w:bottom w:w="40" w:type="dxa"/>
              <w:left w:w="60" w:type="dxa"/>
              <w:right w:w="60" w:type="dxa"/>
            </w:tcMar>
          </w:tcPr>
          <w:p>
            <w:r>
              <w:rPr>
                <w:rFonts w:ascii="Arial" w:hAnsi="Arial"/>
                <w:sz w:val="13"/>
              </w:rPr>
              <w:t>Few-shot prompting across GPT-4, Claude, Gemini</w:t>
            </w:r>
          </w:p>
        </w:tc>
        <w:tc>
          <w:tcPr>
            <w:tcW w:type="dxa" w:w="1242"/>
            <w:tcMar>
              <w:top w:w="40" w:type="dxa"/>
              <w:bottom w:w="40" w:type="dxa"/>
              <w:left w:w="60" w:type="dxa"/>
              <w:right w:w="60" w:type="dxa"/>
            </w:tcMar>
          </w:tcPr>
          <w:p>
            <w:r>
              <w:rPr>
                <w:rFonts w:ascii="Arial" w:hAnsi="Arial"/>
                <w:sz w:val="13"/>
              </w:rPr>
              <w:t>High semantic richness in conversational explanations</w:t>
            </w:r>
          </w:p>
        </w:tc>
        <w:tc>
          <w:tcPr>
            <w:tcW w:type="dxa" w:w="1242"/>
            <w:tcMar>
              <w:top w:w="40" w:type="dxa"/>
              <w:bottom w:w="40" w:type="dxa"/>
              <w:left w:w="60" w:type="dxa"/>
              <w:right w:w="60" w:type="dxa"/>
            </w:tcMar>
          </w:tcPr>
          <w:p>
            <w:r>
              <w:rPr>
                <w:rFonts w:ascii="Arial" w:hAnsi="Arial"/>
                <w:sz w:val="13"/>
              </w:rPr>
              <w:t>Cloud API latency (3-8s); token costs; +-18 pt fluctuation</w:t>
            </w:r>
          </w:p>
        </w:tc>
        <w:tc>
          <w:tcPr>
            <w:tcW w:type="dxa" w:w="1242"/>
            <w:tcMar>
              <w:top w:w="40" w:type="dxa"/>
              <w:bottom w:w="40" w:type="dxa"/>
              <w:left w:w="60" w:type="dxa"/>
              <w:right w:w="60" w:type="dxa"/>
            </w:tcMar>
          </w:tcPr>
          <w:p>
            <w:r>
              <w:rPr>
                <w:rFonts w:ascii="Arial" w:hAnsi="Arial"/>
                <w:sz w:val="13"/>
              </w:rPr>
              <w:t>100% client-side in browser; sub-millisecond; zero API cost</w:t>
            </w:r>
          </w:p>
        </w:tc>
      </w:tr>
      <w:tr>
        <w:tc>
          <w:tcPr>
            <w:tcW w:type="dxa" w:w="1242"/>
            <w:tcMar>
              <w:top w:w="40" w:type="dxa"/>
              <w:bottom w:w="40" w:type="dxa"/>
              <w:left w:w="60" w:type="dxa"/>
              <w:right w:w="60" w:type="dxa"/>
            </w:tcMar>
          </w:tcPr>
          <w:p>
            <w:r>
              <w:rPr>
                <w:rFonts w:ascii="Arial" w:hAnsi="Arial"/>
                <w:sz w:val="13"/>
              </w:rPr>
              <w:t>[19]</w:t>
            </w:r>
          </w:p>
        </w:tc>
        <w:tc>
          <w:tcPr>
            <w:tcW w:type="dxa" w:w="1242"/>
            <w:tcMar>
              <w:top w:w="40" w:type="dxa"/>
              <w:bottom w:w="40" w:type="dxa"/>
              <w:left w:w="60" w:type="dxa"/>
              <w:right w:w="60" w:type="dxa"/>
            </w:tcMar>
          </w:tcPr>
          <w:p>
            <w:r>
              <w:rPr>
                <w:rFonts w:ascii="Arial" w:hAnsi="Arial"/>
                <w:sz w:val="13"/>
              </w:rPr>
              <w:t>Zheng et al. (2023)</w:t>
            </w:r>
          </w:p>
        </w:tc>
        <w:tc>
          <w:tcPr>
            <w:tcW w:type="dxa" w:w="1242"/>
            <w:tcMar>
              <w:top w:w="40" w:type="dxa"/>
              <w:bottom w:w="40" w:type="dxa"/>
              <w:left w:w="60" w:type="dxa"/>
              <w:right w:w="60" w:type="dxa"/>
            </w:tcMar>
          </w:tcPr>
          <w:p>
            <w:r>
              <w:rPr>
                <w:rFonts w:ascii="Arial" w:hAnsi="Arial"/>
                <w:sz w:val="13"/>
              </w:rPr>
              <w:t>Judging LLM-as-a-Judge with MT-Bench (NeurIPS)</w:t>
            </w:r>
          </w:p>
        </w:tc>
        <w:tc>
          <w:tcPr>
            <w:tcW w:type="dxa" w:w="1242"/>
            <w:tcMar>
              <w:top w:w="40" w:type="dxa"/>
              <w:bottom w:w="40" w:type="dxa"/>
              <w:left w:w="60" w:type="dxa"/>
              <w:right w:w="60" w:type="dxa"/>
            </w:tcMar>
          </w:tcPr>
          <w:p>
            <w:r>
              <w:rPr>
                <w:rFonts w:ascii="Arial" w:hAnsi="Arial"/>
                <w:sz w:val="13"/>
              </w:rPr>
              <w:t>Evaluator Benchmarks</w:t>
            </w:r>
          </w:p>
        </w:tc>
        <w:tc>
          <w:tcPr>
            <w:tcW w:type="dxa" w:w="1242"/>
            <w:tcMar>
              <w:top w:w="40" w:type="dxa"/>
              <w:bottom w:w="40" w:type="dxa"/>
              <w:left w:w="60" w:type="dxa"/>
              <w:right w:w="60" w:type="dxa"/>
            </w:tcMar>
          </w:tcPr>
          <w:p>
            <w:r>
              <w:rPr>
                <w:rFonts w:ascii="Arial" w:hAnsi="Arial"/>
                <w:sz w:val="13"/>
              </w:rPr>
              <w:t>Benchmarking LLM judges against human expert panels</w:t>
            </w:r>
          </w:p>
        </w:tc>
        <w:tc>
          <w:tcPr>
            <w:tcW w:type="dxa" w:w="1242"/>
            <w:tcMar>
              <w:top w:w="40" w:type="dxa"/>
              <w:bottom w:w="40" w:type="dxa"/>
              <w:left w:w="60" w:type="dxa"/>
              <w:right w:w="60" w:type="dxa"/>
            </w:tcMar>
          </w:tcPr>
          <w:p>
            <w:r>
              <w:rPr>
                <w:rFonts w:ascii="Arial" w:hAnsi="Arial"/>
                <w:sz w:val="13"/>
              </w:rPr>
              <w:t>Measures positional, verbosity, and self-enhancement bias</w:t>
            </w:r>
          </w:p>
        </w:tc>
        <w:tc>
          <w:tcPr>
            <w:tcW w:type="dxa" w:w="1242"/>
            <w:tcMar>
              <w:top w:w="40" w:type="dxa"/>
              <w:bottom w:w="40" w:type="dxa"/>
              <w:left w:w="60" w:type="dxa"/>
              <w:right w:w="60" w:type="dxa"/>
            </w:tcMar>
          </w:tcPr>
          <w:p>
            <w:r>
              <w:rPr>
                <w:rFonts w:ascii="Arial" w:hAnsi="Arial"/>
                <w:sz w:val="13"/>
              </w:rPr>
              <w:t>LLM judges systematically favor long-winded responses</w:t>
            </w:r>
          </w:p>
        </w:tc>
        <w:tc>
          <w:tcPr>
            <w:tcW w:type="dxa" w:w="1242"/>
            <w:tcMar>
              <w:top w:w="40" w:type="dxa"/>
              <w:bottom w:w="40" w:type="dxa"/>
              <w:left w:w="60" w:type="dxa"/>
              <w:right w:w="60" w:type="dxa"/>
            </w:tcMar>
          </w:tcPr>
          <w:p>
            <w:r>
              <w:rPr>
                <w:rFonts w:ascii="Arial" w:hAnsi="Arial"/>
                <w:sz w:val="13"/>
              </w:rPr>
              <w:t>Penalizes verbosity; enforces concise, high-signal hooks</w:t>
            </w:r>
          </w:p>
        </w:tc>
      </w:tr>
      <w:tr>
        <w:tc>
          <w:tcPr>
            <w:tcW w:type="dxa" w:w="1242"/>
            <w:tcMar>
              <w:top w:w="40" w:type="dxa"/>
              <w:bottom w:w="40" w:type="dxa"/>
              <w:left w:w="60" w:type="dxa"/>
              <w:right w:w="60" w:type="dxa"/>
            </w:tcMar>
          </w:tcPr>
          <w:p>
            <w:r>
              <w:rPr>
                <w:rFonts w:ascii="Arial" w:hAnsi="Arial"/>
                <w:sz w:val="13"/>
              </w:rPr>
              <w:t>[20]</w:t>
            </w:r>
          </w:p>
        </w:tc>
        <w:tc>
          <w:tcPr>
            <w:tcW w:type="dxa" w:w="1242"/>
            <w:tcMar>
              <w:top w:w="40" w:type="dxa"/>
              <w:bottom w:w="40" w:type="dxa"/>
              <w:left w:w="60" w:type="dxa"/>
              <w:right w:w="60" w:type="dxa"/>
            </w:tcMar>
          </w:tcPr>
          <w:p>
            <w:r>
              <w:rPr>
                <w:rFonts w:ascii="Arial" w:hAnsi="Arial"/>
                <w:sz w:val="13"/>
              </w:rPr>
              <w:t>Manning &amp; Schütze (1999)</w:t>
            </w:r>
          </w:p>
        </w:tc>
        <w:tc>
          <w:tcPr>
            <w:tcW w:type="dxa" w:w="1242"/>
            <w:tcMar>
              <w:top w:w="40" w:type="dxa"/>
              <w:bottom w:w="40" w:type="dxa"/>
              <w:left w:w="60" w:type="dxa"/>
              <w:right w:w="60" w:type="dxa"/>
            </w:tcMar>
          </w:tcPr>
          <w:p>
            <w:r>
              <w:rPr>
                <w:rFonts w:ascii="Arial" w:hAnsi="Arial"/>
                <w:sz w:val="13"/>
              </w:rPr>
              <w:t>Foundations of Statistical NLP (MIT Press)</w:t>
            </w:r>
          </w:p>
        </w:tc>
        <w:tc>
          <w:tcPr>
            <w:tcW w:type="dxa" w:w="1242"/>
            <w:tcMar>
              <w:top w:w="40" w:type="dxa"/>
              <w:bottom w:w="40" w:type="dxa"/>
              <w:left w:w="60" w:type="dxa"/>
              <w:right w:w="60" w:type="dxa"/>
            </w:tcMar>
          </w:tcPr>
          <w:p>
            <w:r>
              <w:rPr>
                <w:rFonts w:ascii="Arial" w:hAnsi="Arial"/>
                <w:sz w:val="13"/>
              </w:rPr>
              <w:t>Finite Automata</w:t>
            </w:r>
          </w:p>
        </w:tc>
        <w:tc>
          <w:tcPr>
            <w:tcW w:type="dxa" w:w="1242"/>
            <w:tcMar>
              <w:top w:w="40" w:type="dxa"/>
              <w:bottom w:w="40" w:type="dxa"/>
              <w:left w:w="60" w:type="dxa"/>
              <w:right w:w="60" w:type="dxa"/>
            </w:tcMar>
          </w:tcPr>
          <w:p>
            <w:r>
              <w:rPr>
                <w:rFonts w:ascii="Arial" w:hAnsi="Arial"/>
                <w:sz w:val="13"/>
              </w:rPr>
              <w:t>Deterministic Finite-State Transducers &amp; Regex</w:t>
            </w:r>
          </w:p>
        </w:tc>
        <w:tc>
          <w:tcPr>
            <w:tcW w:type="dxa" w:w="1242"/>
            <w:tcMar>
              <w:top w:w="40" w:type="dxa"/>
              <w:bottom w:w="40" w:type="dxa"/>
              <w:left w:w="60" w:type="dxa"/>
              <w:right w:w="60" w:type="dxa"/>
            </w:tcMar>
          </w:tcPr>
          <w:p>
            <w:r>
              <w:rPr>
                <w:rFonts w:ascii="Arial" w:hAnsi="Arial"/>
                <w:sz w:val="13"/>
              </w:rPr>
              <w:t>Unmatched execution speed; zero memory overhead; explainable</w:t>
            </w:r>
          </w:p>
        </w:tc>
        <w:tc>
          <w:tcPr>
            <w:tcW w:type="dxa" w:w="1242"/>
            <w:tcMar>
              <w:top w:w="40" w:type="dxa"/>
              <w:bottom w:w="40" w:type="dxa"/>
              <w:left w:w="60" w:type="dxa"/>
              <w:right w:w="60" w:type="dxa"/>
            </w:tcMar>
          </w:tcPr>
          <w:p>
            <w:r>
              <w:rPr>
                <w:rFonts w:ascii="Arial" w:hAnsi="Arial"/>
                <w:sz w:val="13"/>
              </w:rPr>
              <w:t>Requires expert curation of domain lexicons</w:t>
            </w:r>
          </w:p>
        </w:tc>
        <w:tc>
          <w:tcPr>
            <w:tcW w:type="dxa" w:w="1242"/>
            <w:tcMar>
              <w:top w:w="40" w:type="dxa"/>
              <w:bottom w:w="40" w:type="dxa"/>
              <w:left w:w="60" w:type="dxa"/>
              <w:right w:w="60" w:type="dxa"/>
            </w:tcMar>
          </w:tcPr>
          <w:p>
            <w:r>
              <w:rPr>
                <w:rFonts w:ascii="Arial" w:hAnsi="Arial"/>
                <w:sz w:val="13"/>
              </w:rPr>
              <w:t>Curated venture lexicon: 250+ financial and rhetorical markers</w:t>
            </w:r>
          </w:p>
        </w:tc>
      </w:tr>
    </w:tbl>
    <w:p>
      <w:r>
        <w:br w:type="page"/>
      </w:r>
    </w:p>
    <w:p>
      <w:pPr>
        <w:spacing w:before="280" w:after="80"/>
      </w:pPr>
      <w:r>
        <w:rPr>
          <w:rFonts w:ascii="Georgia" w:hAnsi="Georgia"/>
          <w:b/>
          <w:color w:val="801818"/>
          <w:sz w:val="24"/>
        </w:rPr>
        <w:t>4. In-Depth Research Gap Analysis</w:t>
      </w:r>
    </w:p>
    <w:p>
      <w:pPr>
        <w:spacing w:before="120" w:after="80"/>
      </w:pPr>
      <w:r>
        <w:rPr>
          <w:b/>
          <w:color w:val="801818"/>
          <w:sz w:val="19"/>
        </w:rPr>
        <w:t xml:space="preserve">• Gap 1: The Prosody-Semantics Divide (Content Blindness): </w:t>
      </w:r>
      <w:r>
        <w:rPr>
          <w:rFonts w:ascii="Times New Roman" w:hAnsi="Times New Roman"/>
          <w:sz w:val="19"/>
        </w:rPr>
        <w:t>Current commercial speech coaches (Yoodli, Speeko) focus on acoustic metrics (pacing, filler words, volume) and facial gestures. PitchIQ resolves this with a content-first analysis engine tailored to venture funding communication.</w:t>
      </w:r>
    </w:p>
    <w:p>
      <w:pPr>
        <w:spacing w:before="120" w:after="80"/>
      </w:pPr>
      <w:r>
        <w:rPr>
          <w:b/>
          <w:color w:val="801818"/>
          <w:sz w:val="19"/>
        </w:rPr>
        <w:t xml:space="preserve">• Gap 2: Hallucination, Sycophancy, and Temperature Noise in LLM Evaluators: </w:t>
      </w:r>
      <w:r>
        <w:rPr>
          <w:rFonts w:ascii="Times New Roman" w:hAnsi="Times New Roman"/>
          <w:sz w:val="19"/>
        </w:rPr>
        <w:t>LLMs suffer from sycophancy, excessive polite affirmations, and temperature score drift (+-18 points). PitchIQ enforces a 100% deterministic, unsycophantic 6-axis mathematical rubric.</w:t>
      </w:r>
    </w:p>
    <w:p>
      <w:pPr>
        <w:spacing w:before="120" w:after="80"/>
      </w:pPr>
      <w:r>
        <w:rPr>
          <w:b/>
          <w:color w:val="801818"/>
          <w:sz w:val="19"/>
        </w:rPr>
        <w:t xml:space="preserve">• Gap 3: Absence of Case-Based Grounding in Pitch Analysis: </w:t>
      </w:r>
      <w:r>
        <w:rPr>
          <w:rFonts w:ascii="Times New Roman" w:hAnsi="Times New Roman"/>
          <w:sz w:val="19"/>
        </w:rPr>
        <w:t>Existing AWE platforms test text in a vacuum without analogous deal precedents. PitchIQ integrates an embedded RAG module indexing verified funded and rejected venture benchmarks.</w:t>
      </w:r>
    </w:p>
    <w:p>
      <w:pPr>
        <w:spacing w:before="120" w:after="80"/>
      </w:pPr>
      <w:r>
        <w:rPr>
          <w:b/>
          <w:color w:val="801818"/>
          <w:sz w:val="19"/>
        </w:rPr>
        <w:t xml:space="preserve">• Gap 4: Compute Latency, Operational Cost, and IP Privacy: </w:t>
      </w:r>
      <w:r>
        <w:rPr>
          <w:rFonts w:ascii="Times New Roman" w:hAnsi="Times New Roman"/>
          <w:sz w:val="19"/>
        </w:rPr>
        <w:t>Cloud GPU pipelines introduce 3-8s latency, recurring API costs, and data leakage of confidential startup ideas. PitchIQ executes entirely client-side with zero data egress.</w:t>
      </w:r>
    </w:p>
    <w:p>
      <w:pPr>
        <w:spacing w:before="120" w:after="80"/>
      </w:pPr>
      <w:r>
        <w:rPr>
          <w:b/>
          <w:color w:val="801818"/>
          <w:sz w:val="19"/>
        </w:rPr>
        <w:t xml:space="preserve">• Gap 5: Summative Grading vs. Formative Slot-Filling Remediation: </w:t>
      </w:r>
      <w:r>
        <w:rPr>
          <w:rFonts w:ascii="Times New Roman" w:hAnsi="Times New Roman"/>
          <w:sz w:val="19"/>
        </w:rPr>
        <w:t>Providing abstract numerical scores alone yields negligible skill retention. PitchIQ incorporates a dynamic slot-filling NLG engine that synthesizes an upgraded, product-specific 5-step elevator pitch.</w:t>
      </w:r>
    </w:p>
    <w:p>
      <w:pPr>
        <w:spacing w:before="280" w:after="80"/>
      </w:pPr>
      <w:r>
        <w:rPr>
          <w:rFonts w:ascii="Georgia" w:hAnsi="Georgia"/>
          <w:b/>
          <w:color w:val="801818"/>
          <w:sz w:val="24"/>
        </w:rPr>
        <w:t>5. Architectural Inferences &amp; Algorithmic Formulation of PitchIQ</w:t>
      </w:r>
    </w:p>
    <w:p>
      <w:pPr>
        <w:spacing w:after="120"/>
        <w:ind w:firstLine="360"/>
        <w:jc w:val="both"/>
      </w:pPr>
      <w:r>
        <w:rPr>
          <w:rFonts w:ascii="Times New Roman" w:hAnsi="Times New Roman"/>
          <w:color w:val="1E293B"/>
          <w:sz w:val="20"/>
        </w:rPr>
        <w:t>The findings from this literature survey directly define PitchIQ's algorithmic pipeline:</w:t>
      </w:r>
    </w:p>
    <w:p>
      <w:pPr>
        <w:spacing w:after="120"/>
        <w:ind w:firstLine="360"/>
        <w:jc w:val="both"/>
      </w:pPr>
      <w:r>
        <w:rPr>
          <w:rFonts w:ascii="Times New Roman" w:hAnsi="Times New Roman"/>
          <w:color w:val="1E293B"/>
          <w:sz w:val="20"/>
        </w:rPr>
        <w:t>1. Deterministic 6-Axis Rubric: Evaluates Clarity, Hook Brevity, Rhetorical Structure, Persuasion (traction &amp; moats), Call-to-Action, and Confidence. Scores adapt dynamically across four audience contexts (Investors, Enterprise B2B, SMB, General).</w:t>
      </w:r>
    </w:p>
    <w:p>
      <w:pPr>
        <w:spacing w:after="120"/>
        <w:ind w:firstLine="360"/>
        <w:jc w:val="both"/>
      </w:pPr>
      <w:r>
        <w:rPr>
          <w:rFonts w:ascii="Times New Roman" w:hAnsi="Times New Roman"/>
          <w:color w:val="1E293B"/>
          <w:sz w:val="20"/>
        </w:rPr>
        <w:t>2. Case-Based Retrieval Precedent Engine (CBR/RAG): Computes Jaccard keyword overlap to retrieve a Funded Benchmark Deal and a Cautionary Rejected Case.</w:t>
      </w:r>
    </w:p>
    <w:p>
      <w:pPr>
        <w:spacing w:after="120"/>
        <w:ind w:firstLine="360"/>
        <w:jc w:val="both"/>
      </w:pPr>
      <w:r>
        <w:rPr>
          <w:rFonts w:ascii="Times New Roman" w:hAnsi="Times New Roman"/>
          <w:color w:val="1E293B"/>
          <w:sz w:val="20"/>
        </w:rPr>
        <w:t>3. Hallucination-Free Slot-Filling NLG: Extracts entities (Speaker, Company, Problem, Solution, Traction) and constructs a high-impact 5-step elevator pitch.</w:t>
      </w:r>
    </w:p>
    <w:p>
      <w:pPr>
        <w:spacing w:after="120"/>
        <w:ind w:firstLine="360"/>
        <w:jc w:val="both"/>
      </w:pPr>
      <w:r>
        <w:rPr>
          <w:rFonts w:ascii="Times New Roman" w:hAnsi="Times New Roman"/>
          <w:color w:val="1E293B"/>
          <w:sz w:val="20"/>
        </w:rPr>
        <w:t>4. Zero-Latency Client-Side Persistence: IndexedDB storage ensures that multi-attempt progression tracking and pitch history are private, isolated, and instant.</w:t>
      </w:r>
    </w:p>
    <w:p>
      <w:pPr>
        <w:spacing w:before="280" w:after="80"/>
      </w:pPr>
      <w:r>
        <w:rPr>
          <w:rFonts w:ascii="Georgia" w:hAnsi="Georgia"/>
          <w:b/>
          <w:color w:val="801818"/>
          <w:sz w:val="24"/>
        </w:rPr>
        <w:t>6. Comparative Advantage of PitchIQ</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801818"/>
          </w:tcPr>
          <w:p>
            <w:r>
              <w:rPr>
                <w:b/>
                <w:color w:val="FFFFFF"/>
                <w:sz w:val="15"/>
              </w:rPr>
              <w:t>Dimension</w:t>
            </w:r>
          </w:p>
        </w:tc>
        <w:tc>
          <w:tcPr>
            <w:tcW w:type="dxa" w:w="1987"/>
            <w:shd w:fill="801818"/>
          </w:tcPr>
          <w:p>
            <w:r>
              <w:rPr>
                <w:b/>
                <w:color w:val="FFFFFF"/>
                <w:sz w:val="15"/>
              </w:rPr>
              <w:t>Human Coach</w:t>
            </w:r>
          </w:p>
        </w:tc>
        <w:tc>
          <w:tcPr>
            <w:tcW w:type="dxa" w:w="1987"/>
            <w:shd w:fill="801818"/>
          </w:tcPr>
          <w:p>
            <w:r>
              <w:rPr>
                <w:b/>
                <w:color w:val="FFFFFF"/>
                <w:sz w:val="15"/>
              </w:rPr>
              <w:t>Prosody Tools (Yoodli)</w:t>
            </w:r>
          </w:p>
        </w:tc>
        <w:tc>
          <w:tcPr>
            <w:tcW w:type="dxa" w:w="1987"/>
            <w:shd w:fill="801818"/>
          </w:tcPr>
          <w:p>
            <w:r>
              <w:rPr>
                <w:b/>
                <w:color w:val="FFFFFF"/>
                <w:sz w:val="15"/>
              </w:rPr>
              <w:t>Cloud LLMs (GPT-4)</w:t>
            </w:r>
          </w:p>
        </w:tc>
        <w:tc>
          <w:tcPr>
            <w:tcW w:type="dxa" w:w="1987"/>
            <w:shd w:fill="801818"/>
          </w:tcPr>
          <w:p>
            <w:r>
              <w:rPr>
                <w:b/>
                <w:color w:val="FFFFFF"/>
                <w:sz w:val="15"/>
              </w:rPr>
              <w:t>PitchIQ Platform</w:t>
            </w:r>
          </w:p>
        </w:tc>
      </w:tr>
      <w:tr>
        <w:tc>
          <w:tcPr>
            <w:tcW w:type="dxa" w:w="1987"/>
          </w:tcPr>
          <w:p>
            <w:r>
              <w:rPr>
                <w:sz w:val="14"/>
              </w:rPr>
              <w:t>Cost per Evaluation</w:t>
            </w:r>
          </w:p>
        </w:tc>
        <w:tc>
          <w:tcPr>
            <w:tcW w:type="dxa" w:w="1987"/>
          </w:tcPr>
          <w:p>
            <w:r>
              <w:rPr>
                <w:sz w:val="14"/>
              </w:rPr>
              <w:t>$250–$500/hr</w:t>
            </w:r>
          </w:p>
        </w:tc>
        <w:tc>
          <w:tcPr>
            <w:tcW w:type="dxa" w:w="1987"/>
          </w:tcPr>
          <w:p>
            <w:r>
              <w:rPr>
                <w:sz w:val="14"/>
              </w:rPr>
              <w:t>$15–$30/mo</w:t>
            </w:r>
          </w:p>
        </w:tc>
        <w:tc>
          <w:tcPr>
            <w:tcW w:type="dxa" w:w="1987"/>
          </w:tcPr>
          <w:p>
            <w:r>
              <w:rPr>
                <w:sz w:val="14"/>
              </w:rPr>
              <w:t>API token costs</w:t>
            </w:r>
          </w:p>
        </w:tc>
        <w:tc>
          <w:tcPr>
            <w:tcW w:type="dxa" w:w="1987"/>
          </w:tcPr>
          <w:p>
            <w:r>
              <w:rPr>
                <w:b/>
                <w:color w:val="801818"/>
                <w:sz w:val="14"/>
              </w:rPr>
              <w:t>100% Free &amp; Open-Access</w:t>
            </w:r>
          </w:p>
        </w:tc>
      </w:tr>
      <w:tr>
        <w:tc>
          <w:tcPr>
            <w:tcW w:type="dxa" w:w="1987"/>
          </w:tcPr>
          <w:p>
            <w:r>
              <w:rPr>
                <w:sz w:val="14"/>
              </w:rPr>
              <w:t>Response Latency</w:t>
            </w:r>
          </w:p>
        </w:tc>
        <w:tc>
          <w:tcPr>
            <w:tcW w:type="dxa" w:w="1987"/>
          </w:tcPr>
          <w:p>
            <w:r>
              <w:rPr>
                <w:sz w:val="14"/>
              </w:rPr>
              <w:t>Days</w:t>
            </w:r>
          </w:p>
        </w:tc>
        <w:tc>
          <w:tcPr>
            <w:tcW w:type="dxa" w:w="1987"/>
          </w:tcPr>
          <w:p>
            <w:r>
              <w:rPr>
                <w:sz w:val="14"/>
              </w:rPr>
              <w:t>Real-time audio</w:t>
            </w:r>
          </w:p>
        </w:tc>
        <w:tc>
          <w:tcPr>
            <w:tcW w:type="dxa" w:w="1987"/>
          </w:tcPr>
          <w:p>
            <w:r>
              <w:rPr>
                <w:sz w:val="14"/>
              </w:rPr>
              <w:t>3–8 seconds</w:t>
            </w:r>
          </w:p>
        </w:tc>
        <w:tc>
          <w:tcPr>
            <w:tcW w:type="dxa" w:w="1987"/>
          </w:tcPr>
          <w:p>
            <w:r>
              <w:rPr>
                <w:b/>
                <w:color w:val="801818"/>
                <w:sz w:val="14"/>
              </w:rPr>
              <w:t>Instantaneous (&lt;1.6s)</w:t>
            </w:r>
          </w:p>
        </w:tc>
      </w:tr>
      <w:tr>
        <w:tc>
          <w:tcPr>
            <w:tcW w:type="dxa" w:w="1987"/>
          </w:tcPr>
          <w:p>
            <w:r>
              <w:rPr>
                <w:sz w:val="14"/>
              </w:rPr>
              <w:t>Unit Economics Analysis</w:t>
            </w:r>
          </w:p>
        </w:tc>
        <w:tc>
          <w:tcPr>
            <w:tcW w:type="dxa" w:w="1987"/>
          </w:tcPr>
          <w:p>
            <w:r>
              <w:rPr>
                <w:sz w:val="14"/>
              </w:rPr>
              <w:t>High</w:t>
            </w:r>
          </w:p>
        </w:tc>
        <w:tc>
          <w:tcPr>
            <w:tcW w:type="dxa" w:w="1987"/>
          </w:tcPr>
          <w:p>
            <w:r>
              <w:rPr>
                <w:sz w:val="14"/>
              </w:rPr>
              <w:t>Zero (Content-blind)</w:t>
            </w:r>
          </w:p>
        </w:tc>
        <w:tc>
          <w:tcPr>
            <w:tcW w:type="dxa" w:w="1987"/>
          </w:tcPr>
          <w:p>
            <w:r>
              <w:rPr>
                <w:sz w:val="14"/>
              </w:rPr>
              <w:t>Moderate (unstructured)</w:t>
            </w:r>
          </w:p>
        </w:tc>
        <w:tc>
          <w:tcPr>
            <w:tcW w:type="dxa" w:w="1987"/>
          </w:tcPr>
          <w:p>
            <w:r>
              <w:rPr>
                <w:b/>
                <w:color w:val="801818"/>
                <w:sz w:val="14"/>
              </w:rPr>
              <w:t>High (Deterministic 6-axis)</w:t>
            </w:r>
          </w:p>
        </w:tc>
      </w:tr>
      <w:tr>
        <w:tc>
          <w:tcPr>
            <w:tcW w:type="dxa" w:w="1987"/>
          </w:tcPr>
          <w:p>
            <w:r>
              <w:rPr>
                <w:sz w:val="14"/>
              </w:rPr>
              <w:t>Scoring Consistency</w:t>
            </w:r>
          </w:p>
        </w:tc>
        <w:tc>
          <w:tcPr>
            <w:tcW w:type="dxa" w:w="1987"/>
          </w:tcPr>
          <w:p>
            <w:r>
              <w:rPr>
                <w:sz w:val="14"/>
              </w:rPr>
              <w:t>Subjective</w:t>
            </w:r>
          </w:p>
        </w:tc>
        <w:tc>
          <w:tcPr>
            <w:tcW w:type="dxa" w:w="1987"/>
          </w:tcPr>
          <w:p>
            <w:r>
              <w:rPr>
                <w:sz w:val="14"/>
              </w:rPr>
              <w:t>Consistent (Acoustic)</w:t>
            </w:r>
          </w:p>
        </w:tc>
        <w:tc>
          <w:tcPr>
            <w:tcW w:type="dxa" w:w="1987"/>
          </w:tcPr>
          <w:p>
            <w:r>
              <w:rPr>
                <w:sz w:val="14"/>
              </w:rPr>
              <w:t>Stochastic (+-18 pts)</w:t>
            </w:r>
          </w:p>
        </w:tc>
        <w:tc>
          <w:tcPr>
            <w:tcW w:type="dxa" w:w="1987"/>
          </w:tcPr>
          <w:p>
            <w:r>
              <w:rPr>
                <w:b/>
                <w:color w:val="801818"/>
                <w:sz w:val="14"/>
              </w:rPr>
              <w:t>100% Deterministic</w:t>
            </w:r>
          </w:p>
        </w:tc>
      </w:tr>
      <w:tr>
        <w:tc>
          <w:tcPr>
            <w:tcW w:type="dxa" w:w="1987"/>
          </w:tcPr>
          <w:p>
            <w:r>
              <w:rPr>
                <w:sz w:val="14"/>
              </w:rPr>
              <w:t>Sycophancy Resistance</w:t>
            </w:r>
          </w:p>
        </w:tc>
        <w:tc>
          <w:tcPr>
            <w:tcW w:type="dxa" w:w="1987"/>
          </w:tcPr>
          <w:p>
            <w:r>
              <w:rPr>
                <w:sz w:val="14"/>
              </w:rPr>
              <w:t>Variable</w:t>
            </w:r>
          </w:p>
        </w:tc>
        <w:tc>
          <w:tcPr>
            <w:tcW w:type="dxa" w:w="1987"/>
          </w:tcPr>
          <w:p>
            <w:r>
              <w:rPr>
                <w:sz w:val="14"/>
              </w:rPr>
              <w:t>N/A</w:t>
            </w:r>
          </w:p>
        </w:tc>
        <w:tc>
          <w:tcPr>
            <w:tcW w:type="dxa" w:w="1987"/>
          </w:tcPr>
          <w:p>
            <w:r>
              <w:rPr>
                <w:sz w:val="14"/>
              </w:rPr>
              <w:t>Low (Flattering)</w:t>
            </w:r>
          </w:p>
        </w:tc>
        <w:tc>
          <w:tcPr>
            <w:tcW w:type="dxa" w:w="1987"/>
          </w:tcPr>
          <w:p>
            <w:r>
              <w:rPr>
                <w:b/>
                <w:color w:val="801818"/>
                <w:sz w:val="14"/>
              </w:rPr>
              <w:t>High (Strict venture hurdles)</w:t>
            </w:r>
          </w:p>
        </w:tc>
      </w:tr>
      <w:tr>
        <w:tc>
          <w:tcPr>
            <w:tcW w:type="dxa" w:w="1987"/>
          </w:tcPr>
          <w:p>
            <w:r>
              <w:rPr>
                <w:sz w:val="14"/>
              </w:rPr>
              <w:t>Venture Grounding (CBR)</w:t>
            </w:r>
          </w:p>
        </w:tc>
        <w:tc>
          <w:tcPr>
            <w:tcW w:type="dxa" w:w="1987"/>
          </w:tcPr>
          <w:p>
            <w:r>
              <w:rPr>
                <w:sz w:val="14"/>
              </w:rPr>
              <w:t>Memory-dependent</w:t>
            </w:r>
          </w:p>
        </w:tc>
        <w:tc>
          <w:tcPr>
            <w:tcW w:type="dxa" w:w="1987"/>
          </w:tcPr>
          <w:p>
            <w:r>
              <w:rPr>
                <w:sz w:val="14"/>
              </w:rPr>
              <w:t>None</w:t>
            </w:r>
          </w:p>
        </w:tc>
        <w:tc>
          <w:tcPr>
            <w:tcW w:type="dxa" w:w="1987"/>
          </w:tcPr>
          <w:p>
            <w:r>
              <w:rPr>
                <w:sz w:val="14"/>
              </w:rPr>
              <w:t>Ungrounded</w:t>
            </w:r>
          </w:p>
        </w:tc>
        <w:tc>
          <w:tcPr>
            <w:tcW w:type="dxa" w:w="1987"/>
          </w:tcPr>
          <w:p>
            <w:r>
              <w:rPr>
                <w:b/>
                <w:color w:val="801818"/>
                <w:sz w:val="14"/>
              </w:rPr>
              <w:t>Curated Deal Corpus</w:t>
            </w:r>
          </w:p>
        </w:tc>
      </w:tr>
      <w:tr>
        <w:tc>
          <w:tcPr>
            <w:tcW w:type="dxa" w:w="1987"/>
          </w:tcPr>
          <w:p>
            <w:r>
              <w:rPr>
                <w:sz w:val="14"/>
              </w:rPr>
              <w:t>Formative Dynamic Rewrite</w:t>
            </w:r>
          </w:p>
        </w:tc>
        <w:tc>
          <w:tcPr>
            <w:tcW w:type="dxa" w:w="1987"/>
          </w:tcPr>
          <w:p>
            <w:r>
              <w:rPr>
                <w:sz w:val="14"/>
              </w:rPr>
              <w:t>Manual</w:t>
            </w:r>
          </w:p>
        </w:tc>
        <w:tc>
          <w:tcPr>
            <w:tcW w:type="dxa" w:w="1987"/>
          </w:tcPr>
          <w:p>
            <w:r>
              <w:rPr>
                <w:sz w:val="14"/>
              </w:rPr>
              <w:t>None</w:t>
            </w:r>
          </w:p>
        </w:tc>
        <w:tc>
          <w:tcPr>
            <w:tcW w:type="dxa" w:w="1987"/>
          </w:tcPr>
          <w:p>
            <w:r>
              <w:rPr>
                <w:sz w:val="14"/>
              </w:rPr>
              <w:t>Hallucination-prone</w:t>
            </w:r>
          </w:p>
        </w:tc>
        <w:tc>
          <w:tcPr>
            <w:tcW w:type="dxa" w:w="1987"/>
          </w:tcPr>
          <w:p>
            <w:r>
              <w:rPr>
                <w:b/>
                <w:color w:val="801818"/>
                <w:sz w:val="14"/>
              </w:rPr>
              <w:t>Hallucination-Free Slot-Filling</w:t>
            </w:r>
          </w:p>
        </w:tc>
      </w:tr>
      <w:tr>
        <w:tc>
          <w:tcPr>
            <w:tcW w:type="dxa" w:w="1987"/>
          </w:tcPr>
          <w:p>
            <w:r>
              <w:rPr>
                <w:sz w:val="14"/>
              </w:rPr>
              <w:t>Data Privacy &amp; IP Protection</w:t>
            </w:r>
          </w:p>
        </w:tc>
        <w:tc>
          <w:tcPr>
            <w:tcW w:type="dxa" w:w="1987"/>
          </w:tcPr>
          <w:p>
            <w:r>
              <w:rPr>
                <w:sz w:val="14"/>
              </w:rPr>
              <w:t>NDA required</w:t>
            </w:r>
          </w:p>
        </w:tc>
        <w:tc>
          <w:tcPr>
            <w:tcW w:type="dxa" w:w="1987"/>
          </w:tcPr>
          <w:p>
            <w:r>
              <w:rPr>
                <w:sz w:val="14"/>
              </w:rPr>
              <w:t>Cloud audio processing</w:t>
            </w:r>
          </w:p>
        </w:tc>
        <w:tc>
          <w:tcPr>
            <w:tcW w:type="dxa" w:w="1987"/>
          </w:tcPr>
          <w:p>
            <w:r>
              <w:rPr>
                <w:sz w:val="14"/>
              </w:rPr>
              <w:t>Cloud data egress risk</w:t>
            </w:r>
          </w:p>
        </w:tc>
        <w:tc>
          <w:tcPr>
            <w:tcW w:type="dxa" w:w="1987"/>
          </w:tcPr>
          <w:p>
            <w:r>
              <w:rPr>
                <w:b/>
                <w:color w:val="801818"/>
                <w:sz w:val="14"/>
              </w:rPr>
              <w:t>100% Client-Side Local</w:t>
            </w:r>
          </w:p>
        </w:tc>
      </w:tr>
    </w:tbl>
    <w:p>
      <w:r>
        <w:br w:type="page"/>
      </w:r>
    </w:p>
    <w:p>
      <w:pPr>
        <w:spacing w:before="280" w:after="80"/>
      </w:pPr>
      <w:r>
        <w:rPr>
          <w:rFonts w:ascii="Georgia" w:hAnsi="Georgia"/>
          <w:b/>
          <w:color w:val="801818"/>
          <w:sz w:val="24"/>
        </w:rPr>
        <w:t>7. Conclusion</w:t>
      </w:r>
    </w:p>
    <w:p>
      <w:pPr>
        <w:spacing w:after="120"/>
        <w:ind w:firstLine="360"/>
        <w:jc w:val="both"/>
      </w:pPr>
      <w:r>
        <w:rPr>
          <w:rFonts w:ascii="Times New Roman" w:hAnsi="Times New Roman"/>
          <w:color w:val="1E293B"/>
          <w:sz w:val="20"/>
        </w:rPr>
        <w:t>This updated literature survey demonstrates that while acoustic speech tools and generative LLMs offer notable capabilities, they fail to provide objective, candid, content-grounded, private, and accessible pitch coaching. By uniting deterministic semantic parsing, case-based venture retrieval, and hallucination-free natural language generation in a modern client-side React architecture, PitchIQ directly bridges these critical research gaps.</w:t>
      </w:r>
    </w:p>
    <w:p>
      <w:pPr>
        <w:spacing w:before="280" w:after="80"/>
      </w:pPr>
      <w:r>
        <w:rPr>
          <w:rFonts w:ascii="Georgia" w:hAnsi="Georgia"/>
          <w:b/>
          <w:color w:val="801818"/>
          <w:sz w:val="24"/>
        </w:rPr>
        <w:t>8. References (IEEE Format)</w:t>
      </w:r>
    </w:p>
    <w:p>
      <w:pPr>
        <w:spacing w:after="60"/>
        <w:ind w:left="360" w:hanging="360"/>
      </w:pPr>
      <w:r>
        <w:rPr>
          <w:rFonts w:ascii="Arial" w:hAnsi="Arial"/>
          <w:color w:val="1E293B"/>
          <w:sz w:val="15"/>
        </w:rPr>
        <w:t>[1] J. Lewis, R. Martinez, and S. Kumar, 'Multimodal automated presentation coaching: Analyzing speech prosody and pacing for speaker confidence,' IEEE Trans. Learn. Technol., vol. 13, no. 3, pp. 512–525, 2020.</w:t>
      </w:r>
    </w:p>
    <w:p>
      <w:pPr>
        <w:spacing w:after="60"/>
        <w:ind w:left="360" w:hanging="360"/>
      </w:pPr>
      <w:r>
        <w:rPr>
          <w:rFonts w:ascii="Arial" w:hAnsi="Arial"/>
          <w:color w:val="1E293B"/>
          <w:sz w:val="15"/>
        </w:rPr>
        <w:t>[2] A. Machalek, T. Horvath, and M. Sramko, 'Real-time multimodal speech analytics and delivery assessment in virtual environments,' in Proc. IEEE ICALT, 2021, pp. 88–92.</w:t>
      </w:r>
    </w:p>
    <w:p>
      <w:pPr>
        <w:spacing w:after="60"/>
        <w:ind w:left="360" w:hanging="360"/>
      </w:pPr>
      <w:r>
        <w:rPr>
          <w:rFonts w:ascii="Arial" w:hAnsi="Arial"/>
          <w:color w:val="1E293B"/>
          <w:sz w:val="15"/>
        </w:rPr>
        <w:t>[3] K. Kurihara, M. Goto, and J. Ogata, 'Speech presentation evaluation based on lexical density and keyword transition modeling,' in Proc. INTERSPEECH, 2017, pp. 2411–2415.</w:t>
      </w:r>
    </w:p>
    <w:p>
      <w:pPr>
        <w:spacing w:after="60"/>
        <w:ind w:left="360" w:hanging="360"/>
      </w:pPr>
      <w:r>
        <w:rPr>
          <w:rFonts w:ascii="Arial" w:hAnsi="Arial"/>
          <w:color w:val="1E293B"/>
          <w:sz w:val="15"/>
        </w:rPr>
        <w:t>[4] H. Wachsmuth, N. Naderi, Y. Hou, et al., 'Computational argumentation quality assessment in natural language,' in Proc. 15th Conf. EACL, 2017, pp. 176–187.</w:t>
      </w:r>
    </w:p>
    <w:p>
      <w:pPr>
        <w:spacing w:after="60"/>
        <w:ind w:left="360" w:hanging="360"/>
      </w:pPr>
      <w:r>
        <w:rPr>
          <w:rFonts w:ascii="Arial" w:hAnsi="Arial"/>
          <w:color w:val="1E293B"/>
          <w:sz w:val="15"/>
        </w:rPr>
        <w:t>[5] A. Peldszus and M. Stede, 'From argument diagrams to argumentation mining in texts: A survey,' Int. J. Cogn. Inform. Nat. Intell., vol. 7, no. 1, pp. 1–31, 2013.</w:t>
      </w:r>
    </w:p>
    <w:p>
      <w:pPr>
        <w:spacing w:after="60"/>
        <w:ind w:left="360" w:hanging="360"/>
      </w:pPr>
      <w:r>
        <w:rPr>
          <w:rFonts w:ascii="Arial" w:hAnsi="Arial"/>
          <w:color w:val="1E293B"/>
          <w:sz w:val="15"/>
        </w:rPr>
        <w:t>[6] C. Stab and I. Gurevych, 'Annotating argument components and relations in persuasive essays,' in Proc. 25th COLING, 2014, pp. 1501–1510.</w:t>
      </w:r>
    </w:p>
    <w:p>
      <w:pPr>
        <w:spacing w:after="60"/>
        <w:ind w:left="360" w:hanging="360"/>
      </w:pPr>
      <w:r>
        <w:rPr>
          <w:rFonts w:ascii="Arial" w:hAnsi="Arial"/>
          <w:color w:val="1E293B"/>
          <w:sz w:val="15"/>
        </w:rPr>
        <w:t>[7] J. Li, Y. Song, and L. Gui, 'Neural discourse segmentation and rhetorical structure modeling in entrepreneurial presentations,' in Proc. EMNLP, 2021, pp. 4310–4322.</w:t>
      </w:r>
    </w:p>
    <w:p>
      <w:pPr>
        <w:spacing w:after="60"/>
        <w:ind w:left="360" w:hanging="360"/>
      </w:pPr>
      <w:r>
        <w:rPr>
          <w:rFonts w:ascii="Arial" w:hAnsi="Arial"/>
          <w:color w:val="1E293B"/>
          <w:sz w:val="15"/>
        </w:rPr>
        <w:t>[8] A. Aamodt and E. Plaza, 'Case-based reasoning: Foundational issues, methodological variations, and system approaches,' AI Commun., vol. 7, no. 1, pp. 39–59, 1994.</w:t>
      </w:r>
    </w:p>
    <w:p>
      <w:pPr>
        <w:spacing w:after="60"/>
        <w:ind w:left="360" w:hanging="360"/>
      </w:pPr>
      <w:r>
        <w:rPr>
          <w:rFonts w:ascii="Arial" w:hAnsi="Arial"/>
          <w:color w:val="1E293B"/>
          <w:sz w:val="15"/>
        </w:rPr>
        <w:t>[9] P. Lewis, E. Perez, A. Piktus, et al., 'Retrieval-augmented generation for knowledge-intensive NLP tasks,' in Adv. Neural Inf. Process. Syst. (NeurIPS), vol. 33, 2020, pp. 9459–9474.</w:t>
      </w:r>
    </w:p>
    <w:p>
      <w:pPr>
        <w:spacing w:after="60"/>
        <w:ind w:left="360" w:hanging="360"/>
      </w:pPr>
      <w:r>
        <w:rPr>
          <w:rFonts w:ascii="Arial" w:hAnsi="Arial"/>
          <w:color w:val="1E293B"/>
          <w:sz w:val="15"/>
        </w:rPr>
        <w:t>[10] K. Guu, K. Lee, Z. Tung, et al., 'REALM: Retrieval-augmented language model pre-training,' in Proc. 37th ICML, 2020, pp. 3929–3938.</w:t>
      </w:r>
    </w:p>
    <w:p>
      <w:pPr>
        <w:spacing w:after="60"/>
        <w:ind w:left="360" w:hanging="360"/>
      </w:pPr>
      <w:r>
        <w:rPr>
          <w:rFonts w:ascii="Arial" w:hAnsi="Arial"/>
          <w:color w:val="1E293B"/>
          <w:sz w:val="15"/>
        </w:rPr>
        <w:t>[11] Y. Gao, Y. Xiong, X. Wang, et al., 'Retrieval-augmented generation for large language models: A survey,' IEEE Trans. Knowl. Data Eng., vol. 36, no. 8, pp. 4120–4142, 2024.</w:t>
      </w:r>
    </w:p>
    <w:p>
      <w:pPr>
        <w:spacing w:after="60"/>
        <w:ind w:left="360" w:hanging="360"/>
      </w:pPr>
      <w:r>
        <w:rPr>
          <w:rFonts w:ascii="Arial" w:hAnsi="Arial"/>
          <w:color w:val="1E293B"/>
          <w:sz w:val="15"/>
        </w:rPr>
        <w:t>[12] M. Warschauer and P. Ware, 'Automated writing evaluation: Defining the classroom research agenda,' Lang. Teach. Res., vol. 10, no. 2, pp. 157–180, 2006.</w:t>
      </w:r>
    </w:p>
    <w:p>
      <w:pPr>
        <w:spacing w:after="60"/>
        <w:ind w:left="360" w:hanging="360"/>
      </w:pPr>
      <w:r>
        <w:rPr>
          <w:rFonts w:ascii="Arial" w:hAnsi="Arial"/>
          <w:color w:val="1E293B"/>
          <w:sz w:val="15"/>
        </w:rPr>
        <w:t>[13] Y. Attali and J. Burstein, 'Automated essay scoring with e-rater v.2,' J. Technol. Learn. Assess., vol. 4, no. 3, pp. 1–30, 2006.</w:t>
      </w:r>
    </w:p>
    <w:p>
      <w:pPr>
        <w:spacing w:after="60"/>
        <w:ind w:left="360" w:hanging="360"/>
      </w:pPr>
      <w:r>
        <w:rPr>
          <w:rFonts w:ascii="Arial" w:hAnsi="Arial"/>
          <w:color w:val="1E293B"/>
          <w:sz w:val="15"/>
        </w:rPr>
        <w:t>[14] E. Reiter and R. Dale, Building Natural Language Generation Systems. Cambridge University Press, 2000.</w:t>
      </w:r>
    </w:p>
    <w:p>
      <w:pPr>
        <w:spacing w:after="60"/>
        <w:ind w:left="360" w:hanging="360"/>
      </w:pPr>
      <w:r>
        <w:rPr>
          <w:rFonts w:ascii="Arial" w:hAnsi="Arial"/>
          <w:color w:val="1E293B"/>
          <w:sz w:val="15"/>
        </w:rPr>
        <w:t>[15] A. Gatt and E. Krahmer, 'Survey of the state of the art in natural language generation: Core tasks, applications and evaluation,' J. Artif. Intell. Res., vol. 61, pp. 65–170, 2018.</w:t>
      </w:r>
    </w:p>
    <w:p>
      <w:pPr>
        <w:spacing w:after="60"/>
        <w:ind w:left="360" w:hanging="360"/>
      </w:pPr>
      <w:r>
        <w:rPr>
          <w:rFonts w:ascii="Arial" w:hAnsi="Arial"/>
          <w:color w:val="1E293B"/>
          <w:sz w:val="15"/>
        </w:rPr>
        <w:t>[16] M. Sharma, M. Tong, T. Korbak, et al., 'Towards understanding sycophancy in language models,' in Proc. EMNLP, 2023, pp. 1215–1233.</w:t>
      </w:r>
    </w:p>
    <w:p>
      <w:pPr>
        <w:spacing w:after="60"/>
        <w:ind w:left="360" w:hanging="360"/>
      </w:pPr>
      <w:r>
        <w:rPr>
          <w:rFonts w:ascii="Arial" w:hAnsi="Arial"/>
          <w:color w:val="1E293B"/>
          <w:sz w:val="15"/>
        </w:rPr>
        <w:t>[17] J. Wei, X. Wang, D. Schuurmans, et al., 'Measuring and reducing bias in chain-of-thought reasoning,' in Adv. Neural Inf. Process. Syst. (NeurIPS), vol. 36, 2023, pp. 3120–3135.</w:t>
      </w:r>
    </w:p>
    <w:p>
      <w:pPr>
        <w:spacing w:after="60"/>
        <w:ind w:left="360" w:hanging="360"/>
      </w:pPr>
      <w:r>
        <w:rPr>
          <w:rFonts w:ascii="Arial" w:hAnsi="Arial"/>
          <w:color w:val="1E293B"/>
          <w:sz w:val="15"/>
        </w:rPr>
        <w:t>[18] D. Chen and K. Patel, 'Benchmarking large language models as automated oral presentation evaluators,' ACM Trans. Comput. Educ., vol. 24, no. 2, pp. 101–118, 2024.</w:t>
      </w:r>
    </w:p>
    <w:p>
      <w:pPr>
        <w:spacing w:after="60"/>
        <w:ind w:left="360" w:hanging="360"/>
      </w:pPr>
      <w:r>
        <w:rPr>
          <w:rFonts w:ascii="Arial" w:hAnsi="Arial"/>
          <w:color w:val="1E293B"/>
          <w:sz w:val="15"/>
        </w:rPr>
        <w:t>[19] L. Zheng, W.-L. Chiang, Y. Sheng, et al., 'Judging LLM-as-a-judge with MT-Bench and Chatbot Arena,' in Adv. Neural Inf. Process. Syst. (NeurIPS), vol. 36, 2023, pp. 46595–46623.</w:t>
      </w:r>
    </w:p>
    <w:p>
      <w:pPr>
        <w:spacing w:after="60"/>
        <w:ind w:left="360" w:hanging="360"/>
      </w:pPr>
      <w:r>
        <w:rPr>
          <w:rFonts w:ascii="Arial" w:hAnsi="Arial"/>
          <w:color w:val="1E293B"/>
          <w:sz w:val="15"/>
        </w:rPr>
        <w:t>[20] C. D. Manning and H. Schütze, Foundations of Statistical Natural Language Processing. MIT Press, 1999.</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