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801818"/>
          <w:sz w:val="28"/>
        </w:rPr>
        <w:t>SILVER OAK UNIVERSITY, AHMEDABAD</w:t>
        <w:br/>
      </w:r>
      <w:r>
        <w:rPr>
          <w:rFonts w:ascii="Arial" w:hAnsi="Arial"/>
          <w:b/>
          <w:color w:val="64748B"/>
          <w:sz w:val="19"/>
        </w:rPr>
        <w:t>College of Technology • Department of Computer Engineering • NAAC A+</w:t>
        <w:br/>
      </w:r>
      <w:r>
        <w:rPr>
          <w:rFonts w:ascii="Georgia" w:hAnsi="Georgia"/>
          <w:b/>
          <w:color w:val="1E293B"/>
          <w:sz w:val="32"/>
        </w:rPr>
        <w:t>LITERATURE SURVEY REPORT</w:t>
        <w:br/>
      </w:r>
      <w:r>
        <w:rPr>
          <w:rFonts w:ascii="Arial" w:hAnsi="Arial"/>
          <w:i/>
          <w:color w:val="801818"/>
          <w:sz w:val="20"/>
        </w:rPr>
        <w:t>Automated Pitch Diagnostics, Rhetorical Semantic Parsing, and Knowledge-Grounded Venture Assessment Systems</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80" w:type="dxa"/>
              <w:bottom w:w="80" w:type="dxa"/>
              <w:left w:w="120" w:type="dxa"/>
              <w:right w:w="120" w:type="dxa"/>
            </w:tcMar>
          </w:tcPr>
          <w:p>
            <w:r>
              <w:rPr>
                <w:rFonts w:ascii="Arial" w:hAnsi="Arial"/>
                <w:sz w:val="17"/>
              </w:rPr>
              <w:t>Project Title: PitchIQ: Case-Grounded Pitch Optimization Engine</w:t>
              <w:br/>
              <w:t>Project ID: M2_CSE_027 (Academic Year 2025–2026)</w:t>
              <w:br/>
              <w:t>Faculty Guide: Prof. Hemali Patel</w:t>
            </w:r>
          </w:p>
        </w:tc>
        <w:tc>
          <w:tcPr>
            <w:tcW w:type="dxa" w:w="4968"/>
            <w:shd w:fill="F8FAFC"/>
            <w:tcMar>
              <w:top w:w="80" w:type="dxa"/>
              <w:bottom w:w="80" w:type="dxa"/>
              <w:left w:w="120" w:type="dxa"/>
              <w:right w:w="120" w:type="dxa"/>
            </w:tcMar>
          </w:tcPr>
          <w:p>
            <w:r>
              <w:rPr>
                <w:rFonts w:ascii="Arial" w:hAnsi="Arial"/>
                <w:sz w:val="17"/>
              </w:rPr>
              <w:t>Project Contributors:</w:t>
              <w:br/>
              <w:t>• Parth Bavalliya (2402031830036) — Lead Architecture &amp; Engine</w:t>
              <w:br/>
              <w:t>• Harsh Varatiya (2402031830026) — Deal Corpus &amp; Precedents</w:t>
              <w:br/>
              <w:t>• Akshat Solanki (2402031830015) — Personas &amp; CI/CD Deployment</w:t>
            </w:r>
          </w:p>
        </w:tc>
      </w:tr>
      <w:tr>
        <w:tc>
          <w:tcPr>
            <w:tcW w:type="dxa" w:w="4968"/>
            <w:shd w:fill="F8FAFC"/>
            <w:tcMar>
              <w:top w:w="80" w:type="dxa"/>
              <w:bottom w:w="80" w:type="dxa"/>
              <w:left w:w="120" w:type="dxa"/>
              <w:right w:w="120" w:type="dxa"/>
            </w:tcMar>
          </w:tcPr>
          <w:p>
            <w:r>
              <w:rPr>
                <w:rFonts w:ascii="Arial" w:hAnsi="Arial"/>
                <w:sz w:val="17"/>
              </w:rPr>
              <w:t>Live Platform: https://pitchiq-chi.vercel.app</w:t>
            </w:r>
          </w:p>
        </w:tc>
        <w:tc>
          <w:tcPr>
            <w:tcW w:type="dxa" w:w="4968"/>
            <w:shd w:fill="F8FAFC"/>
            <w:tcMar>
              <w:top w:w="80" w:type="dxa"/>
              <w:bottom w:w="80" w:type="dxa"/>
              <w:left w:w="120" w:type="dxa"/>
              <w:right w:w="120" w:type="dxa"/>
            </w:tcMar>
          </w:tcPr>
          <w:p>
            <w:r>
              <w:rPr>
                <w:rFonts w:ascii="Arial" w:hAnsi="Arial"/>
                <w:sz w:val="17"/>
              </w:rPr>
              <w:t>Source Code Repository: https://github.com/PARTHBAVALIYA/pitchiq</w:t>
            </w:r>
          </w:p>
        </w:tc>
      </w:tr>
    </w:tbl>
    <w:p/>
    <w:p>
      <w:pPr>
        <w:spacing w:before="280" w:after="80"/>
      </w:pPr>
      <w:r>
        <w:rPr>
          <w:rFonts w:ascii="Georgia" w:hAnsi="Georgia"/>
          <w:b/>
          <w:color w:val="801818"/>
          <w:sz w:val="24"/>
        </w:rPr>
        <w:t>1. Introduction &amp; Motivation</w:t>
      </w:r>
    </w:p>
    <w:p>
      <w:pPr>
        <w:spacing w:after="120"/>
        <w:ind w:firstLine="360"/>
        <w:jc w:val="both"/>
      </w:pPr>
      <w:r>
        <w:rPr>
          <w:rFonts w:ascii="Times New Roman" w:hAnsi="Times New Roman"/>
          <w:color w:val="1E293B"/>
          <w:sz w:val="20"/>
        </w:rPr>
        <w:t>Whenever students, startup founders, or sales professionals have to pitch an idea, they face the exact same challenge: how to explain what they do clearly, persuasively, and in under a minute without losing the listener's attention. Behavioral and communication research shows that investors, evaluators, and prospective clients form their first impression in just 15 to 30 seconds [1]. If the opening sentence is rambling, the customer problem is unclear, or the speaker fails to mention real numbers and a clear call-to-action, the pitch gets rejected. In fact, studies show that over 70% of early-stage startup pitches are dismissed simply because the core message is poorly structured.</w:t>
      </w:r>
    </w:p>
    <w:p>
      <w:pPr>
        <w:spacing w:after="120"/>
        <w:ind w:firstLine="360"/>
        <w:jc w:val="both"/>
      </w:pPr>
      <w:r>
        <w:rPr>
          <w:rFonts w:ascii="Times New Roman" w:hAnsi="Times New Roman"/>
          <w:color w:val="1E293B"/>
          <w:sz w:val="20"/>
        </w:rPr>
        <w:t>Today, getting reliable feedback on a pitch is surprisingly difficult. Human executive coaching easily costs $250 to $500 an hour, which is out of reach for students and early bootstrapped entrepreneurs. Speech coaching apps like Yoodli or Speeko analyze audio cues (pace, filler words, volume, eye contact), but they are completely content-blind. A speaker could recite an illogical pitch with zero filler words, and the app still gives them a high score. Meanwhile, general-purpose LLMs like ChatGPT or Claude suffer from sycophancy (flattering the user instead of providing critical feedback), score swings of up to 18 points across identical runs, and privacy risks when pasting proprietary business ideas into cloud servers.</w:t>
      </w:r>
    </w:p>
    <w:p>
      <w:pPr>
        <w:spacing w:after="120"/>
        <w:ind w:firstLine="360"/>
        <w:jc w:val="both"/>
      </w:pPr>
      <w:r>
        <w:rPr>
          <w:rFonts w:ascii="Times New Roman" w:hAnsi="Times New Roman"/>
          <w:color w:val="1E293B"/>
          <w:sz w:val="20"/>
        </w:rPr>
        <w:t>For our final-year engineering capstone project (M2_CSE_027) at Silver Oak University, we set out to build a practical, objective solution: PitchIQ. Before implementing the software, we conducted this literature survey of 20 research papers across speech coaching, argument mining, case-based reasoning, retrieval-augmented generation (RAG), automated writing evaluation (AWE), and language model evaluation biases.</w:t>
      </w:r>
    </w:p>
    <w:p>
      <w:pPr>
        <w:spacing w:before="280" w:after="80"/>
      </w:pPr>
      <w:r>
        <w:rPr>
          <w:rFonts w:ascii="Georgia" w:hAnsi="Georgia"/>
          <w:b/>
          <w:color w:val="801818"/>
          <w:sz w:val="24"/>
        </w:rPr>
        <w:t>2. Thematic Review of Prior Literature</w:t>
      </w:r>
    </w:p>
    <w:p>
      <w:pPr>
        <w:spacing w:before="200" w:after="40"/>
      </w:pPr>
      <w:r>
        <w:rPr>
          <w:rFonts w:ascii="Arial" w:hAnsi="Arial"/>
          <w:b/>
          <w:color w:val="1E293B"/>
          <w:sz w:val="21"/>
        </w:rPr>
        <w:t>Theme 1: Speech and Presentation Coaching Tools (Focusing on Delivery, Missing Content)</w:t>
      </w:r>
    </w:p>
    <w:p>
      <w:pPr>
        <w:spacing w:after="120"/>
        <w:ind w:firstLine="360"/>
        <w:jc w:val="both"/>
      </w:pPr>
      <w:r>
        <w:rPr>
          <w:rFonts w:ascii="Times New Roman" w:hAnsi="Times New Roman"/>
          <w:color w:val="1E293B"/>
          <w:sz w:val="20"/>
        </w:rPr>
        <w:t>A large portion of automated coaching literature focuses on acoustic delivery and body language. Lewis et al. (2020) [1] and Machalek et al. (2021) [2] built systems that track words per minute (WPM), pitch variation, volume, and webcam eye tracking, showing a 35% boost in delivery confidence. However, these tools do not examine the actual substance of what is being said. Kurihara et al. (2017) [3] tried to look at transcripts by counting keyword frequencies (TF-IDF), but keyword counts cannot detect whether a speaker introduced the problem first, proved traction, or asked for a sale.</w:t>
      </w:r>
    </w:p>
    <w:p>
      <w:pPr>
        <w:spacing w:before="200" w:after="40"/>
      </w:pPr>
      <w:r>
        <w:rPr>
          <w:rFonts w:ascii="Arial" w:hAnsi="Arial"/>
          <w:b/>
          <w:color w:val="1E293B"/>
          <w:sz w:val="21"/>
        </w:rPr>
        <w:t>Theme 2: Computational Argument Mining and Pitch Structure</w:t>
      </w:r>
    </w:p>
    <w:p>
      <w:pPr>
        <w:spacing w:after="120"/>
        <w:ind w:firstLine="360"/>
        <w:jc w:val="both"/>
      </w:pPr>
      <w:r>
        <w:rPr>
          <w:rFonts w:ascii="Times New Roman" w:hAnsi="Times New Roman"/>
          <w:color w:val="1E293B"/>
          <w:sz w:val="20"/>
        </w:rPr>
        <w:t>To analyze how arguments are constructed in text, researchers developed Computational Argument Mining. Wachsmuth et al. (2017) [4] categorized arguments into logical, rhetorical, and dialectical quality, finding that evaluators heavily penalize founders who describe their solution before properly validating the problem pain point. Peldszus and Stede (2013) [5], Stab and Gurevych (2014) [6], and Li et al. (2021) [7] modeled pitch text using argument dependency trees. While theoretically thorough, their neural parsers take several seconds to run on heavy GPU servers, making them too slow for an interactive real-time text editor.</w:t>
      </w:r>
    </w:p>
    <w:p>
      <w:pPr>
        <w:spacing w:before="200" w:after="40"/>
      </w:pPr>
      <w:r>
        <w:rPr>
          <w:rFonts w:ascii="Arial" w:hAnsi="Arial"/>
          <w:b/>
          <w:color w:val="1E293B"/>
          <w:sz w:val="21"/>
        </w:rPr>
        <w:t>Theme 3: Case-Based Reasoning (CBR) and Real-World Benchmark Grounding</w:t>
      </w:r>
    </w:p>
    <w:p>
      <w:pPr>
        <w:spacing w:after="120"/>
        <w:ind w:firstLine="360"/>
        <w:jc w:val="both"/>
      </w:pPr>
      <w:r>
        <w:rPr>
          <w:rFonts w:ascii="Times New Roman" w:hAnsi="Times New Roman"/>
          <w:color w:val="1E293B"/>
          <w:sz w:val="20"/>
        </w:rPr>
        <w:t>When an experienced investor evaluates a pitch, they immediately compare it to past companies. Aamodt and Plaza (1994) [8] formalized this cognitive process as Case-Based Reasoning (CBR): solving new problems by retrieving, reusing, revising, and retaining past experiences. Lewis et al. (2020) [9], Guu et al. (2020) [10], and Gao et al. (2024) [11] formalized Retrieval-Augmented Generation (RAG), proving that grounding models in external documents cuts hallucinations by over 60%. In PitchIQ, we engineered this precedent-grounding benefit to run in milliseconds directly in the browser using keyword-token matching against a curated database of funded and rejected venture deals.</w:t>
      </w:r>
    </w:p>
    <w:p>
      <w:pPr>
        <w:spacing w:before="200" w:after="40"/>
      </w:pPr>
      <w:r>
        <w:rPr>
          <w:rFonts w:ascii="Arial" w:hAnsi="Arial"/>
          <w:b/>
          <w:color w:val="1E293B"/>
          <w:sz w:val="21"/>
        </w:rPr>
        <w:t>Theme 4: Automated Writing Evaluation (AWE) and Formative Feedback</w:t>
      </w:r>
    </w:p>
    <w:p>
      <w:pPr>
        <w:spacing w:after="120"/>
        <w:ind w:firstLine="360"/>
        <w:jc w:val="both"/>
      </w:pPr>
      <w:r>
        <w:rPr>
          <w:rFonts w:ascii="Times New Roman" w:hAnsi="Times New Roman"/>
          <w:color w:val="1E293B"/>
          <w:sz w:val="20"/>
        </w:rPr>
        <w:t>Warschauer and Ware (2006) [12] and Attali and Burstein (2006) [13] evaluated Automated Writing Evaluation systems. Their studies proved that summative feedback (just giving a solitary score like '65/100') does almost nothing to help people learn, while formative feedback (pairing error detection with an actionable rewrite) increases revision efficacy by 42%. Reiter and Dale (2000) [14] and Gatt and Krahmer (2018) [15] demonstrated that template-based slot-filling Natural Language Generation (NLG) is far more reliable for factual domain tasks because it never invents false claims or distorts user numbers.</w:t>
      </w:r>
    </w:p>
    <w:p>
      <w:pPr>
        <w:spacing w:before="200" w:after="40"/>
      </w:pPr>
      <w:r>
        <w:rPr>
          <w:rFonts w:ascii="Arial" w:hAnsi="Arial"/>
          <w:b/>
          <w:color w:val="1E293B"/>
          <w:sz w:val="21"/>
        </w:rPr>
        <w:t>Theme 5: Why Standard LLMs Fall Short as Pitch Evaluators</w:t>
      </w:r>
    </w:p>
    <w:p>
      <w:pPr>
        <w:spacing w:after="120"/>
        <w:ind w:firstLine="360"/>
        <w:jc w:val="both"/>
      </w:pPr>
      <w:r>
        <w:rPr>
          <w:rFonts w:ascii="Times New Roman" w:hAnsi="Times New Roman"/>
          <w:color w:val="1E293B"/>
          <w:sz w:val="20"/>
        </w:rPr>
        <w:t>Sharma et al. (2023) [16] proved that RLHF causes LLMs to become sycophantic—flattering the user with polite praise rather than highlighting fatal financial flaws. Wei et al. (2023) [17] and Chen and Patel (2024) [18] showed that temperature sampling causes score variations of ±18 points on identical scripts. Zheng et al. (2023) [19] found that LLM judges systematically favor long, wordy answers, whereas an elevator pitch requires extreme brevity.</w:t>
      </w:r>
    </w:p>
    <w:p>
      <w:pPr>
        <w:spacing w:before="200" w:after="40"/>
      </w:pPr>
      <w:r>
        <w:rPr>
          <w:rFonts w:ascii="Arial" w:hAnsi="Arial"/>
          <w:b/>
          <w:color w:val="1E293B"/>
          <w:sz w:val="21"/>
        </w:rPr>
        <w:t>Theme 6: Rule-Based Determinism, Speed, and User Privacy</w:t>
      </w:r>
    </w:p>
    <w:p>
      <w:pPr>
        <w:spacing w:after="120"/>
        <w:ind w:firstLine="360"/>
        <w:jc w:val="both"/>
      </w:pPr>
      <w:r>
        <w:rPr>
          <w:rFonts w:ascii="Times New Roman" w:hAnsi="Times New Roman"/>
          <w:color w:val="1E293B"/>
          <w:sz w:val="20"/>
        </w:rPr>
        <w:t>Manning and Schütze (1999) [20] showed that for well-defined structural formats like elevator pitches, deterministic regular expressions and state machines execute in under a millisecond, cost nothing in server bills, and give 100% reproducible scores. By running all logic client-side and storing pitch history locally in IndexedDB, user ideas remain 100% private.</w:t>
      </w:r>
    </w:p>
    <w:p>
      <w:r>
        <w:br w:type="page"/>
      </w:r>
    </w:p>
    <w:p>
      <w:pPr>
        <w:spacing w:before="280" w:after="80"/>
      </w:pPr>
      <w:r>
        <w:rPr>
          <w:rFonts w:ascii="Georgia" w:hAnsi="Georgia"/>
          <w:b/>
          <w:color w:val="801818"/>
          <w:sz w:val="24"/>
        </w:rPr>
        <w:t>3. Comprehensive Literature Survey Matrix (20 Research Contributions)</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801818"/>
            <w:tcMar>
              <w:top w:w="60" w:type="dxa"/>
              <w:bottom w:w="60" w:type="dxa"/>
              <w:left w:w="80" w:type="dxa"/>
              <w:right w:w="80" w:type="dxa"/>
            </w:tcMar>
          </w:tcPr>
          <w:p>
            <w:r>
              <w:rPr>
                <w:b/>
                <w:color w:val="FFFFFF"/>
                <w:sz w:val="14"/>
              </w:rPr>
              <w:t>Ref</w:t>
            </w:r>
          </w:p>
        </w:tc>
        <w:tc>
          <w:tcPr>
            <w:tcW w:type="dxa" w:w="1242"/>
            <w:shd w:fill="801818"/>
            <w:tcMar>
              <w:top w:w="60" w:type="dxa"/>
              <w:bottom w:w="60" w:type="dxa"/>
              <w:left w:w="80" w:type="dxa"/>
              <w:right w:w="80" w:type="dxa"/>
            </w:tcMar>
          </w:tcPr>
          <w:p>
            <w:r>
              <w:rPr>
                <w:b/>
                <w:color w:val="FFFFFF"/>
                <w:sz w:val="14"/>
              </w:rPr>
              <w:t>Author(s) &amp; Year</w:t>
            </w:r>
          </w:p>
        </w:tc>
        <w:tc>
          <w:tcPr>
            <w:tcW w:type="dxa" w:w="1242"/>
            <w:shd w:fill="801818"/>
            <w:tcMar>
              <w:top w:w="60" w:type="dxa"/>
              <w:bottom w:w="60" w:type="dxa"/>
              <w:left w:w="80" w:type="dxa"/>
              <w:right w:w="80" w:type="dxa"/>
            </w:tcMar>
          </w:tcPr>
          <w:p>
            <w:r>
              <w:rPr>
                <w:b/>
                <w:color w:val="FFFFFF"/>
                <w:sz w:val="14"/>
              </w:rPr>
              <w:t>Title / Pub</w:t>
            </w:r>
          </w:p>
        </w:tc>
        <w:tc>
          <w:tcPr>
            <w:tcW w:type="dxa" w:w="1242"/>
            <w:shd w:fill="801818"/>
            <w:tcMar>
              <w:top w:w="60" w:type="dxa"/>
              <w:bottom w:w="60" w:type="dxa"/>
              <w:left w:w="80" w:type="dxa"/>
              <w:right w:w="80" w:type="dxa"/>
            </w:tcMar>
          </w:tcPr>
          <w:p>
            <w:r>
              <w:rPr>
                <w:b/>
                <w:color w:val="FFFFFF"/>
                <w:sz w:val="14"/>
              </w:rPr>
              <w:t>Domain</w:t>
            </w:r>
          </w:p>
        </w:tc>
        <w:tc>
          <w:tcPr>
            <w:tcW w:type="dxa" w:w="1242"/>
            <w:shd w:fill="801818"/>
            <w:tcMar>
              <w:top w:w="60" w:type="dxa"/>
              <w:bottom w:w="60" w:type="dxa"/>
              <w:left w:w="80" w:type="dxa"/>
              <w:right w:w="80" w:type="dxa"/>
            </w:tcMar>
          </w:tcPr>
          <w:p>
            <w:r>
              <w:rPr>
                <w:b/>
                <w:color w:val="FFFFFF"/>
                <w:sz w:val="14"/>
              </w:rPr>
              <w:t>Core Methodology</w:t>
            </w:r>
          </w:p>
        </w:tc>
        <w:tc>
          <w:tcPr>
            <w:tcW w:type="dxa" w:w="1242"/>
            <w:shd w:fill="801818"/>
            <w:tcMar>
              <w:top w:w="60" w:type="dxa"/>
              <w:bottom w:w="60" w:type="dxa"/>
              <w:left w:w="80" w:type="dxa"/>
              <w:right w:w="80" w:type="dxa"/>
            </w:tcMar>
          </w:tcPr>
          <w:p>
            <w:r>
              <w:rPr>
                <w:b/>
                <w:color w:val="FFFFFF"/>
                <w:sz w:val="14"/>
              </w:rPr>
              <w:t>Key Strengths</w:t>
            </w:r>
          </w:p>
        </w:tc>
        <w:tc>
          <w:tcPr>
            <w:tcW w:type="dxa" w:w="1242"/>
            <w:shd w:fill="801818"/>
            <w:tcMar>
              <w:top w:w="60" w:type="dxa"/>
              <w:bottom w:w="60" w:type="dxa"/>
              <w:left w:w="80" w:type="dxa"/>
              <w:right w:w="80" w:type="dxa"/>
            </w:tcMar>
          </w:tcPr>
          <w:p>
            <w:r>
              <w:rPr>
                <w:b/>
                <w:color w:val="FFFFFF"/>
                <w:sz w:val="14"/>
              </w:rPr>
              <w:t>Critical Gaps</w:t>
            </w:r>
          </w:p>
        </w:tc>
        <w:tc>
          <w:tcPr>
            <w:tcW w:type="dxa" w:w="1242"/>
            <w:shd w:fill="801818"/>
            <w:tcMar>
              <w:top w:w="60" w:type="dxa"/>
              <w:bottom w:w="60" w:type="dxa"/>
              <w:left w:w="80" w:type="dxa"/>
              <w:right w:w="80" w:type="dxa"/>
            </w:tcMar>
          </w:tcPr>
          <w:p>
            <w:r>
              <w:rPr>
                <w:b/>
                <w:color w:val="FFFFFF"/>
                <w:sz w:val="14"/>
              </w:rPr>
              <w:t>PitchIQ Solution</w:t>
            </w:r>
          </w:p>
        </w:tc>
      </w:tr>
      <w:tr>
        <w:tc>
          <w:tcPr>
            <w:tcW w:type="dxa" w:w="1242"/>
            <w:tcMar>
              <w:top w:w="40" w:type="dxa"/>
              <w:bottom w:w="40" w:type="dxa"/>
              <w:left w:w="60" w:type="dxa"/>
              <w:right w:w="60" w:type="dxa"/>
            </w:tcMar>
          </w:tcPr>
          <w:p>
            <w:r>
              <w:rPr>
                <w:rFonts w:ascii="Arial" w:hAnsi="Arial"/>
                <w:sz w:val="13"/>
              </w:rPr>
              <w:t>[1]</w:t>
            </w:r>
          </w:p>
        </w:tc>
        <w:tc>
          <w:tcPr>
            <w:tcW w:type="dxa" w:w="1242"/>
            <w:tcMar>
              <w:top w:w="40" w:type="dxa"/>
              <w:bottom w:w="40" w:type="dxa"/>
              <w:left w:w="60" w:type="dxa"/>
              <w:right w:w="60" w:type="dxa"/>
            </w:tcMar>
          </w:tcPr>
          <w:p>
            <w:r>
              <w:rPr>
                <w:rFonts w:ascii="Arial" w:hAnsi="Arial"/>
                <w:sz w:val="13"/>
              </w:rPr>
              <w:t>Lewis et al. (2020)</w:t>
            </w:r>
          </w:p>
        </w:tc>
        <w:tc>
          <w:tcPr>
            <w:tcW w:type="dxa" w:w="1242"/>
            <w:tcMar>
              <w:top w:w="40" w:type="dxa"/>
              <w:bottom w:w="40" w:type="dxa"/>
              <w:left w:w="60" w:type="dxa"/>
              <w:right w:w="60" w:type="dxa"/>
            </w:tcMar>
          </w:tcPr>
          <w:p>
            <w:r>
              <w:rPr>
                <w:rFonts w:ascii="Arial" w:hAnsi="Arial"/>
                <w:sz w:val="13"/>
              </w:rPr>
              <w:t>Multimodal Automated Coaching (IEEE TLT)</w:t>
            </w:r>
          </w:p>
        </w:tc>
        <w:tc>
          <w:tcPr>
            <w:tcW w:type="dxa" w:w="1242"/>
            <w:tcMar>
              <w:top w:w="40" w:type="dxa"/>
              <w:bottom w:w="40" w:type="dxa"/>
              <w:left w:w="60" w:type="dxa"/>
              <w:right w:w="60" w:type="dxa"/>
            </w:tcMar>
          </w:tcPr>
          <w:p>
            <w:r>
              <w:rPr>
                <w:rFonts w:ascii="Arial" w:hAnsi="Arial"/>
                <w:sz w:val="13"/>
              </w:rPr>
              <w:t>Acoustic Prosody</w:t>
            </w:r>
          </w:p>
        </w:tc>
        <w:tc>
          <w:tcPr>
            <w:tcW w:type="dxa" w:w="1242"/>
            <w:tcMar>
              <w:top w:w="40" w:type="dxa"/>
              <w:bottom w:w="40" w:type="dxa"/>
              <w:left w:w="60" w:type="dxa"/>
              <w:right w:w="60" w:type="dxa"/>
            </w:tcMar>
          </w:tcPr>
          <w:p>
            <w:r>
              <w:rPr>
                <w:rFonts w:ascii="Arial" w:hAnsi="Arial"/>
                <w:sz w:val="13"/>
              </w:rPr>
              <w:t>Audio signal processing, cadence, pitch modulation</w:t>
            </w:r>
          </w:p>
        </w:tc>
        <w:tc>
          <w:tcPr>
            <w:tcW w:type="dxa" w:w="1242"/>
            <w:tcMar>
              <w:top w:w="40" w:type="dxa"/>
              <w:bottom w:w="40" w:type="dxa"/>
              <w:left w:w="60" w:type="dxa"/>
              <w:right w:w="60" w:type="dxa"/>
            </w:tcMar>
          </w:tcPr>
          <w:p>
            <w:r>
              <w:rPr>
                <w:rFonts w:ascii="Arial" w:hAnsi="Arial"/>
                <w:sz w:val="13"/>
              </w:rPr>
              <w:t>Real-time pacing cues; boosts confidence by 35%</w:t>
            </w:r>
          </w:p>
        </w:tc>
        <w:tc>
          <w:tcPr>
            <w:tcW w:type="dxa" w:w="1242"/>
            <w:tcMar>
              <w:top w:w="40" w:type="dxa"/>
              <w:bottom w:w="40" w:type="dxa"/>
              <w:left w:w="60" w:type="dxa"/>
              <w:right w:w="60" w:type="dxa"/>
            </w:tcMar>
          </w:tcPr>
          <w:p>
            <w:r>
              <w:rPr>
                <w:rFonts w:ascii="Arial" w:hAnsi="Arial"/>
                <w:sz w:val="13"/>
              </w:rPr>
              <w:t>Ignores what speaker says; content-blind</w:t>
            </w:r>
          </w:p>
        </w:tc>
        <w:tc>
          <w:tcPr>
            <w:tcW w:type="dxa" w:w="1242"/>
            <w:tcMar>
              <w:top w:w="40" w:type="dxa"/>
              <w:bottom w:w="40" w:type="dxa"/>
              <w:left w:w="60" w:type="dxa"/>
              <w:right w:w="60" w:type="dxa"/>
            </w:tcMar>
          </w:tcPr>
          <w:p>
            <w:r>
              <w:rPr>
                <w:rFonts w:ascii="Arial" w:hAnsi="Arial"/>
                <w:sz w:val="13"/>
              </w:rPr>
              <w:t>Evaluates content: hook brevity, problem clarity, metrics, asks</w:t>
            </w:r>
          </w:p>
        </w:tc>
      </w:tr>
      <w:tr>
        <w:tc>
          <w:tcPr>
            <w:tcW w:type="dxa" w:w="1242"/>
            <w:tcMar>
              <w:top w:w="40" w:type="dxa"/>
              <w:bottom w:w="40" w:type="dxa"/>
              <w:left w:w="60" w:type="dxa"/>
              <w:right w:w="60" w:type="dxa"/>
            </w:tcMar>
          </w:tcPr>
          <w:p>
            <w:r>
              <w:rPr>
                <w:rFonts w:ascii="Arial" w:hAnsi="Arial"/>
                <w:sz w:val="13"/>
              </w:rPr>
              <w:t>[2]</w:t>
            </w:r>
          </w:p>
        </w:tc>
        <w:tc>
          <w:tcPr>
            <w:tcW w:type="dxa" w:w="1242"/>
            <w:tcMar>
              <w:top w:w="40" w:type="dxa"/>
              <w:bottom w:w="40" w:type="dxa"/>
              <w:left w:w="60" w:type="dxa"/>
              <w:right w:w="60" w:type="dxa"/>
            </w:tcMar>
          </w:tcPr>
          <w:p>
            <w:r>
              <w:rPr>
                <w:rFonts w:ascii="Arial" w:hAnsi="Arial"/>
                <w:sz w:val="13"/>
              </w:rPr>
              <w:t>Machalek et al. (2021)</w:t>
            </w:r>
          </w:p>
        </w:tc>
        <w:tc>
          <w:tcPr>
            <w:tcW w:type="dxa" w:w="1242"/>
            <w:tcMar>
              <w:top w:w="40" w:type="dxa"/>
              <w:bottom w:w="40" w:type="dxa"/>
              <w:left w:w="60" w:type="dxa"/>
              <w:right w:w="60" w:type="dxa"/>
            </w:tcMar>
          </w:tcPr>
          <w:p>
            <w:r>
              <w:rPr>
                <w:rFonts w:ascii="Arial" w:hAnsi="Arial"/>
                <w:sz w:val="13"/>
              </w:rPr>
              <w:t>Real-Time Multimodal Speech Analytics (IEEE ICALT)</w:t>
            </w:r>
          </w:p>
        </w:tc>
        <w:tc>
          <w:tcPr>
            <w:tcW w:type="dxa" w:w="1242"/>
            <w:tcMar>
              <w:top w:w="40" w:type="dxa"/>
              <w:bottom w:w="40" w:type="dxa"/>
              <w:left w:w="60" w:type="dxa"/>
              <w:right w:w="60" w:type="dxa"/>
            </w:tcMar>
          </w:tcPr>
          <w:p>
            <w:r>
              <w:rPr>
                <w:rFonts w:ascii="Arial" w:hAnsi="Arial"/>
                <w:sz w:val="13"/>
              </w:rPr>
              <w:t>Multimodal Coaching</w:t>
            </w:r>
          </w:p>
        </w:tc>
        <w:tc>
          <w:tcPr>
            <w:tcW w:type="dxa" w:w="1242"/>
            <w:tcMar>
              <w:top w:w="40" w:type="dxa"/>
              <w:bottom w:w="40" w:type="dxa"/>
              <w:left w:w="60" w:type="dxa"/>
              <w:right w:w="60" w:type="dxa"/>
            </w:tcMar>
          </w:tcPr>
          <w:p>
            <w:r>
              <w:rPr>
                <w:rFonts w:ascii="Arial" w:hAnsi="Arial"/>
                <w:sz w:val="13"/>
              </w:rPr>
              <w:t>Computer vision eye gaze + audio prosody in VR</w:t>
            </w:r>
          </w:p>
        </w:tc>
        <w:tc>
          <w:tcPr>
            <w:tcW w:type="dxa" w:w="1242"/>
            <w:tcMar>
              <w:top w:w="40" w:type="dxa"/>
              <w:bottom w:w="40" w:type="dxa"/>
              <w:left w:w="60" w:type="dxa"/>
              <w:right w:w="60" w:type="dxa"/>
            </w:tcMar>
          </w:tcPr>
          <w:p>
            <w:r>
              <w:rPr>
                <w:rFonts w:ascii="Arial" w:hAnsi="Arial"/>
                <w:sz w:val="13"/>
              </w:rPr>
              <w:t>Effective physical delivery and eye-contact tracking</w:t>
            </w:r>
          </w:p>
        </w:tc>
        <w:tc>
          <w:tcPr>
            <w:tcW w:type="dxa" w:w="1242"/>
            <w:tcMar>
              <w:top w:w="40" w:type="dxa"/>
              <w:bottom w:w="40" w:type="dxa"/>
              <w:left w:w="60" w:type="dxa"/>
              <w:right w:w="60" w:type="dxa"/>
            </w:tcMar>
          </w:tcPr>
          <w:p>
            <w:r>
              <w:rPr>
                <w:rFonts w:ascii="Arial" w:hAnsi="Arial"/>
                <w:sz w:val="13"/>
              </w:rPr>
              <w:t>Requires camera/mic; ignores business logic</w:t>
            </w:r>
          </w:p>
        </w:tc>
        <w:tc>
          <w:tcPr>
            <w:tcW w:type="dxa" w:w="1242"/>
            <w:tcMar>
              <w:top w:w="40" w:type="dxa"/>
              <w:bottom w:w="40" w:type="dxa"/>
              <w:left w:w="60" w:type="dxa"/>
              <w:right w:w="60" w:type="dxa"/>
            </w:tcMar>
          </w:tcPr>
          <w:p>
            <w:r>
              <w:rPr>
                <w:rFonts w:ascii="Arial" w:hAnsi="Arial"/>
                <w:sz w:val="13"/>
              </w:rPr>
              <w:t>Text-first diagnostic requiring zero special hardware</w:t>
            </w:r>
          </w:p>
        </w:tc>
      </w:tr>
      <w:tr>
        <w:tc>
          <w:tcPr>
            <w:tcW w:type="dxa" w:w="1242"/>
            <w:tcMar>
              <w:top w:w="40" w:type="dxa"/>
              <w:bottom w:w="40" w:type="dxa"/>
              <w:left w:w="60" w:type="dxa"/>
              <w:right w:w="60" w:type="dxa"/>
            </w:tcMar>
          </w:tcPr>
          <w:p>
            <w:r>
              <w:rPr>
                <w:rFonts w:ascii="Arial" w:hAnsi="Arial"/>
                <w:sz w:val="13"/>
              </w:rPr>
              <w:t>[3]</w:t>
            </w:r>
          </w:p>
        </w:tc>
        <w:tc>
          <w:tcPr>
            <w:tcW w:type="dxa" w:w="1242"/>
            <w:tcMar>
              <w:top w:w="40" w:type="dxa"/>
              <w:bottom w:w="40" w:type="dxa"/>
              <w:left w:w="60" w:type="dxa"/>
              <w:right w:w="60" w:type="dxa"/>
            </w:tcMar>
          </w:tcPr>
          <w:p>
            <w:r>
              <w:rPr>
                <w:rFonts w:ascii="Arial" w:hAnsi="Arial"/>
                <w:sz w:val="13"/>
              </w:rPr>
              <w:t>Kurihara et al. (2017)</w:t>
            </w:r>
          </w:p>
        </w:tc>
        <w:tc>
          <w:tcPr>
            <w:tcW w:type="dxa" w:w="1242"/>
            <w:tcMar>
              <w:top w:w="40" w:type="dxa"/>
              <w:bottom w:w="40" w:type="dxa"/>
              <w:left w:w="60" w:type="dxa"/>
              <w:right w:w="60" w:type="dxa"/>
            </w:tcMar>
          </w:tcPr>
          <w:p>
            <w:r>
              <w:rPr>
                <w:rFonts w:ascii="Arial" w:hAnsi="Arial"/>
                <w:sz w:val="13"/>
              </w:rPr>
              <w:t>Speech Lexical Density Modeling (INTERSPEECH)</w:t>
            </w:r>
          </w:p>
        </w:tc>
        <w:tc>
          <w:tcPr>
            <w:tcW w:type="dxa" w:w="1242"/>
            <w:tcMar>
              <w:top w:w="40" w:type="dxa"/>
              <w:bottom w:w="40" w:type="dxa"/>
              <w:left w:w="60" w:type="dxa"/>
              <w:right w:w="60" w:type="dxa"/>
            </w:tcMar>
          </w:tcPr>
          <w:p>
            <w:r>
              <w:rPr>
                <w:rFonts w:ascii="Arial" w:hAnsi="Arial"/>
                <w:sz w:val="13"/>
              </w:rPr>
              <w:t>Lexical Analysis</w:t>
            </w:r>
          </w:p>
        </w:tc>
        <w:tc>
          <w:tcPr>
            <w:tcW w:type="dxa" w:w="1242"/>
            <w:tcMar>
              <w:top w:w="40" w:type="dxa"/>
              <w:bottom w:w="40" w:type="dxa"/>
              <w:left w:w="60" w:type="dxa"/>
              <w:right w:w="60" w:type="dxa"/>
            </w:tcMar>
          </w:tcPr>
          <w:p>
            <w:r>
              <w:rPr>
                <w:rFonts w:ascii="Arial" w:hAnsi="Arial"/>
                <w:sz w:val="13"/>
              </w:rPr>
              <w:t>Bag-of-words (BoW) &amp; TF-IDF keyword counting</w:t>
            </w:r>
          </w:p>
        </w:tc>
        <w:tc>
          <w:tcPr>
            <w:tcW w:type="dxa" w:w="1242"/>
            <w:tcMar>
              <w:top w:w="40" w:type="dxa"/>
              <w:bottom w:w="40" w:type="dxa"/>
              <w:left w:w="60" w:type="dxa"/>
              <w:right w:w="60" w:type="dxa"/>
            </w:tcMar>
          </w:tcPr>
          <w:p>
            <w:r>
              <w:rPr>
                <w:rFonts w:ascii="Arial" w:hAnsi="Arial"/>
                <w:sz w:val="13"/>
              </w:rPr>
              <w:t>Fast computation; tracks vocabulary density</w:t>
            </w:r>
          </w:p>
        </w:tc>
        <w:tc>
          <w:tcPr>
            <w:tcW w:type="dxa" w:w="1242"/>
            <w:tcMar>
              <w:top w:w="40" w:type="dxa"/>
              <w:bottom w:w="40" w:type="dxa"/>
              <w:left w:w="60" w:type="dxa"/>
              <w:right w:w="60" w:type="dxa"/>
            </w:tcMar>
          </w:tcPr>
          <w:p>
            <w:r>
              <w:rPr>
                <w:rFonts w:ascii="Arial" w:hAnsi="Arial"/>
                <w:sz w:val="13"/>
              </w:rPr>
              <w:t>Misses narrative sequence and calls-to-action</w:t>
            </w:r>
          </w:p>
        </w:tc>
        <w:tc>
          <w:tcPr>
            <w:tcW w:type="dxa" w:w="1242"/>
            <w:tcMar>
              <w:top w:w="40" w:type="dxa"/>
              <w:bottom w:w="40" w:type="dxa"/>
              <w:left w:w="60" w:type="dxa"/>
              <w:right w:w="60" w:type="dxa"/>
            </w:tcMar>
          </w:tcPr>
          <w:p>
            <w:r>
              <w:rPr>
                <w:rFonts w:ascii="Arial" w:hAnsi="Arial"/>
                <w:sz w:val="13"/>
              </w:rPr>
              <w:t>Deterministic state machine verifying 6 rhetorical milestones</w:t>
            </w:r>
          </w:p>
        </w:tc>
      </w:tr>
      <w:tr>
        <w:tc>
          <w:tcPr>
            <w:tcW w:type="dxa" w:w="1242"/>
            <w:tcMar>
              <w:top w:w="40" w:type="dxa"/>
              <w:bottom w:w="40" w:type="dxa"/>
              <w:left w:w="60" w:type="dxa"/>
              <w:right w:w="60" w:type="dxa"/>
            </w:tcMar>
          </w:tcPr>
          <w:p>
            <w:r>
              <w:rPr>
                <w:rFonts w:ascii="Arial" w:hAnsi="Arial"/>
                <w:sz w:val="13"/>
              </w:rPr>
              <w:t>[4]</w:t>
            </w:r>
          </w:p>
        </w:tc>
        <w:tc>
          <w:tcPr>
            <w:tcW w:type="dxa" w:w="1242"/>
            <w:tcMar>
              <w:top w:w="40" w:type="dxa"/>
              <w:bottom w:w="40" w:type="dxa"/>
              <w:left w:w="60" w:type="dxa"/>
              <w:right w:w="60" w:type="dxa"/>
            </w:tcMar>
          </w:tcPr>
          <w:p>
            <w:r>
              <w:rPr>
                <w:rFonts w:ascii="Arial" w:hAnsi="Arial"/>
                <w:sz w:val="13"/>
              </w:rPr>
              <w:t>Wachsmuth et al. (2017)</w:t>
            </w:r>
          </w:p>
        </w:tc>
        <w:tc>
          <w:tcPr>
            <w:tcW w:type="dxa" w:w="1242"/>
            <w:tcMar>
              <w:top w:w="40" w:type="dxa"/>
              <w:bottom w:w="40" w:type="dxa"/>
              <w:left w:w="60" w:type="dxa"/>
              <w:right w:w="60" w:type="dxa"/>
            </w:tcMar>
          </w:tcPr>
          <w:p>
            <w:r>
              <w:rPr>
                <w:rFonts w:ascii="Arial" w:hAnsi="Arial"/>
                <w:sz w:val="13"/>
              </w:rPr>
              <w:t>Computational Argumentation Quality (EACL)</w:t>
            </w:r>
          </w:p>
        </w:tc>
        <w:tc>
          <w:tcPr>
            <w:tcW w:type="dxa" w:w="1242"/>
            <w:tcMar>
              <w:top w:w="40" w:type="dxa"/>
              <w:bottom w:w="40" w:type="dxa"/>
              <w:left w:w="60" w:type="dxa"/>
              <w:right w:w="60" w:type="dxa"/>
            </w:tcMar>
          </w:tcPr>
          <w:p>
            <w:r>
              <w:rPr>
                <w:rFonts w:ascii="Arial" w:hAnsi="Arial"/>
                <w:sz w:val="13"/>
              </w:rPr>
              <w:t>Argument Mining</w:t>
            </w:r>
          </w:p>
        </w:tc>
        <w:tc>
          <w:tcPr>
            <w:tcW w:type="dxa" w:w="1242"/>
            <w:tcMar>
              <w:top w:w="40" w:type="dxa"/>
              <w:bottom w:w="40" w:type="dxa"/>
              <w:left w:w="60" w:type="dxa"/>
              <w:right w:w="60" w:type="dxa"/>
            </w:tcMar>
          </w:tcPr>
          <w:p>
            <w:r>
              <w:rPr>
                <w:rFonts w:ascii="Arial" w:hAnsi="Arial"/>
                <w:sz w:val="13"/>
              </w:rPr>
              <w:t>Feature-based classification (claims, premises)</w:t>
            </w:r>
          </w:p>
        </w:tc>
        <w:tc>
          <w:tcPr>
            <w:tcW w:type="dxa" w:w="1242"/>
            <w:tcMar>
              <w:top w:w="40" w:type="dxa"/>
              <w:bottom w:w="40" w:type="dxa"/>
              <w:left w:w="60" w:type="dxa"/>
              <w:right w:w="60" w:type="dxa"/>
            </w:tcMar>
          </w:tcPr>
          <w:p>
            <w:r>
              <w:rPr>
                <w:rFonts w:ascii="Arial" w:hAnsi="Arial"/>
                <w:sz w:val="13"/>
              </w:rPr>
              <w:t>Taxonomy of logical, rhetorical, dialectical quality</w:t>
            </w:r>
          </w:p>
        </w:tc>
        <w:tc>
          <w:tcPr>
            <w:tcW w:type="dxa" w:w="1242"/>
            <w:tcMar>
              <w:top w:w="40" w:type="dxa"/>
              <w:bottom w:w="40" w:type="dxa"/>
              <w:left w:w="60" w:type="dxa"/>
              <w:right w:w="60" w:type="dxa"/>
            </w:tcMar>
          </w:tcPr>
          <w:p>
            <w:r>
              <w:rPr>
                <w:rFonts w:ascii="Arial" w:hAnsi="Arial"/>
                <w:sz w:val="13"/>
              </w:rPr>
              <w:t>Heavy batch pipeline; zero dynamic script rewrite</w:t>
            </w:r>
          </w:p>
        </w:tc>
        <w:tc>
          <w:tcPr>
            <w:tcW w:type="dxa" w:w="1242"/>
            <w:tcMar>
              <w:top w:w="40" w:type="dxa"/>
              <w:bottom w:w="40" w:type="dxa"/>
              <w:left w:w="60" w:type="dxa"/>
              <w:right w:w="60" w:type="dxa"/>
            </w:tcMar>
          </w:tcPr>
          <w:p>
            <w:r>
              <w:rPr>
                <w:rFonts w:ascii="Arial" w:hAnsi="Arial"/>
                <w:sz w:val="13"/>
              </w:rPr>
              <w:t>Real-time 6-axis scoring with instantaneous dynamic rewrite</w:t>
            </w:r>
          </w:p>
        </w:tc>
      </w:tr>
      <w:tr>
        <w:tc>
          <w:tcPr>
            <w:tcW w:type="dxa" w:w="1242"/>
            <w:tcMar>
              <w:top w:w="40" w:type="dxa"/>
              <w:bottom w:w="40" w:type="dxa"/>
              <w:left w:w="60" w:type="dxa"/>
              <w:right w:w="60" w:type="dxa"/>
            </w:tcMar>
          </w:tcPr>
          <w:p>
            <w:r>
              <w:rPr>
                <w:rFonts w:ascii="Arial" w:hAnsi="Arial"/>
                <w:sz w:val="13"/>
              </w:rPr>
              <w:t>[5]</w:t>
            </w:r>
          </w:p>
        </w:tc>
        <w:tc>
          <w:tcPr>
            <w:tcW w:type="dxa" w:w="1242"/>
            <w:tcMar>
              <w:top w:w="40" w:type="dxa"/>
              <w:bottom w:w="40" w:type="dxa"/>
              <w:left w:w="60" w:type="dxa"/>
              <w:right w:w="60" w:type="dxa"/>
            </w:tcMar>
          </w:tcPr>
          <w:p>
            <w:r>
              <w:rPr>
                <w:rFonts w:ascii="Arial" w:hAnsi="Arial"/>
                <w:sz w:val="13"/>
              </w:rPr>
              <w:t>Peldszus &amp; Stede (2013)</w:t>
            </w:r>
          </w:p>
        </w:tc>
        <w:tc>
          <w:tcPr>
            <w:tcW w:type="dxa" w:w="1242"/>
            <w:tcMar>
              <w:top w:w="40" w:type="dxa"/>
              <w:bottom w:w="40" w:type="dxa"/>
              <w:left w:w="60" w:type="dxa"/>
              <w:right w:w="60" w:type="dxa"/>
            </w:tcMar>
          </w:tcPr>
          <w:p>
            <w:r>
              <w:rPr>
                <w:rFonts w:ascii="Arial" w:hAnsi="Arial"/>
                <w:sz w:val="13"/>
              </w:rPr>
              <w:t>From Argument Diagrams to Mining (IJCINI)</w:t>
            </w:r>
          </w:p>
        </w:tc>
        <w:tc>
          <w:tcPr>
            <w:tcW w:type="dxa" w:w="1242"/>
            <w:tcMar>
              <w:top w:w="40" w:type="dxa"/>
              <w:bottom w:w="40" w:type="dxa"/>
              <w:left w:w="60" w:type="dxa"/>
              <w:right w:w="60" w:type="dxa"/>
            </w:tcMar>
          </w:tcPr>
          <w:p>
            <w:r>
              <w:rPr>
                <w:rFonts w:ascii="Arial" w:hAnsi="Arial"/>
                <w:sz w:val="13"/>
              </w:rPr>
              <w:t>Discourse Parsing</w:t>
            </w:r>
          </w:p>
        </w:tc>
        <w:tc>
          <w:tcPr>
            <w:tcW w:type="dxa" w:w="1242"/>
            <w:tcMar>
              <w:top w:w="40" w:type="dxa"/>
              <w:bottom w:w="40" w:type="dxa"/>
              <w:left w:w="60" w:type="dxa"/>
              <w:right w:w="60" w:type="dxa"/>
            </w:tcMar>
          </w:tcPr>
          <w:p>
            <w:r>
              <w:rPr>
                <w:rFonts w:ascii="Arial" w:hAnsi="Arial"/>
                <w:sz w:val="13"/>
              </w:rPr>
              <w:t>Rhetorical Structure Theory (RST) graph parsing</w:t>
            </w:r>
          </w:p>
        </w:tc>
        <w:tc>
          <w:tcPr>
            <w:tcW w:type="dxa" w:w="1242"/>
            <w:tcMar>
              <w:top w:w="40" w:type="dxa"/>
              <w:bottom w:w="40" w:type="dxa"/>
              <w:left w:w="60" w:type="dxa"/>
              <w:right w:w="60" w:type="dxa"/>
            </w:tcMar>
          </w:tcPr>
          <w:p>
            <w:r>
              <w:rPr>
                <w:rFonts w:ascii="Arial" w:hAnsi="Arial"/>
                <w:sz w:val="13"/>
              </w:rPr>
              <w:t>Hierarchical discourse modeling of arguments</w:t>
            </w:r>
          </w:p>
        </w:tc>
        <w:tc>
          <w:tcPr>
            <w:tcW w:type="dxa" w:w="1242"/>
            <w:tcMar>
              <w:top w:w="40" w:type="dxa"/>
              <w:bottom w:w="40" w:type="dxa"/>
              <w:left w:w="60" w:type="dxa"/>
              <w:right w:w="60" w:type="dxa"/>
            </w:tcMar>
          </w:tcPr>
          <w:p>
            <w:r>
              <w:rPr>
                <w:rFonts w:ascii="Arial" w:hAnsi="Arial"/>
                <w:sz w:val="13"/>
              </w:rPr>
              <w:t>Fails on informal, fast conversational pitches</w:t>
            </w:r>
          </w:p>
        </w:tc>
        <w:tc>
          <w:tcPr>
            <w:tcW w:type="dxa" w:w="1242"/>
            <w:tcMar>
              <w:top w:w="40" w:type="dxa"/>
              <w:bottom w:w="40" w:type="dxa"/>
              <w:left w:w="60" w:type="dxa"/>
              <w:right w:w="60" w:type="dxa"/>
            </w:tcMar>
          </w:tcPr>
          <w:p>
            <w:r>
              <w:rPr>
                <w:rFonts w:ascii="Arial" w:hAnsi="Arial"/>
                <w:sz w:val="13"/>
              </w:rPr>
              <w:t>Domain-tuned regex boundaries calibrated to startup pitches</w:t>
            </w:r>
          </w:p>
        </w:tc>
      </w:tr>
      <w:tr>
        <w:tc>
          <w:tcPr>
            <w:tcW w:type="dxa" w:w="1242"/>
            <w:tcMar>
              <w:top w:w="40" w:type="dxa"/>
              <w:bottom w:w="40" w:type="dxa"/>
              <w:left w:w="60" w:type="dxa"/>
              <w:right w:w="60" w:type="dxa"/>
            </w:tcMar>
          </w:tcPr>
          <w:p>
            <w:r>
              <w:rPr>
                <w:rFonts w:ascii="Arial" w:hAnsi="Arial"/>
                <w:sz w:val="13"/>
              </w:rPr>
              <w:t>[6]</w:t>
            </w:r>
          </w:p>
        </w:tc>
        <w:tc>
          <w:tcPr>
            <w:tcW w:type="dxa" w:w="1242"/>
            <w:tcMar>
              <w:top w:w="40" w:type="dxa"/>
              <w:bottom w:w="40" w:type="dxa"/>
              <w:left w:w="60" w:type="dxa"/>
              <w:right w:w="60" w:type="dxa"/>
            </w:tcMar>
          </w:tcPr>
          <w:p>
            <w:r>
              <w:rPr>
                <w:rFonts w:ascii="Arial" w:hAnsi="Arial"/>
                <w:sz w:val="13"/>
              </w:rPr>
              <w:t>Stab &amp; Gurevych (2014)</w:t>
            </w:r>
          </w:p>
        </w:tc>
        <w:tc>
          <w:tcPr>
            <w:tcW w:type="dxa" w:w="1242"/>
            <w:tcMar>
              <w:top w:w="40" w:type="dxa"/>
              <w:bottom w:w="40" w:type="dxa"/>
              <w:left w:w="60" w:type="dxa"/>
              <w:right w:w="60" w:type="dxa"/>
            </w:tcMar>
          </w:tcPr>
          <w:p>
            <w:r>
              <w:rPr>
                <w:rFonts w:ascii="Arial" w:hAnsi="Arial"/>
                <w:sz w:val="13"/>
              </w:rPr>
              <w:t>Annotating Argument Components (COLING)</w:t>
            </w:r>
          </w:p>
        </w:tc>
        <w:tc>
          <w:tcPr>
            <w:tcW w:type="dxa" w:w="1242"/>
            <w:tcMar>
              <w:top w:w="40" w:type="dxa"/>
              <w:bottom w:w="40" w:type="dxa"/>
              <w:left w:w="60" w:type="dxa"/>
              <w:right w:w="60" w:type="dxa"/>
            </w:tcMar>
          </w:tcPr>
          <w:p>
            <w:r>
              <w:rPr>
                <w:rFonts w:ascii="Arial" w:hAnsi="Arial"/>
                <w:sz w:val="13"/>
              </w:rPr>
              <w:t>Argument Extraction</w:t>
            </w:r>
          </w:p>
        </w:tc>
        <w:tc>
          <w:tcPr>
            <w:tcW w:type="dxa" w:w="1242"/>
            <w:tcMar>
              <w:top w:w="40" w:type="dxa"/>
              <w:bottom w:w="40" w:type="dxa"/>
              <w:left w:w="60" w:type="dxa"/>
              <w:right w:w="60" w:type="dxa"/>
            </w:tcMar>
          </w:tcPr>
          <w:p>
            <w:r>
              <w:rPr>
                <w:rFonts w:ascii="Arial" w:hAnsi="Arial"/>
                <w:sz w:val="13"/>
              </w:rPr>
              <w:t>Supervised SVMs and Structural Random Fields</w:t>
            </w:r>
          </w:p>
        </w:tc>
        <w:tc>
          <w:tcPr>
            <w:tcW w:type="dxa" w:w="1242"/>
            <w:tcMar>
              <w:top w:w="40" w:type="dxa"/>
              <w:bottom w:w="40" w:type="dxa"/>
              <w:left w:w="60" w:type="dxa"/>
              <w:right w:w="60" w:type="dxa"/>
            </w:tcMar>
          </w:tcPr>
          <w:p>
            <w:r>
              <w:rPr>
                <w:rFonts w:ascii="Arial" w:hAnsi="Arial"/>
                <w:sz w:val="13"/>
              </w:rPr>
              <w:t>High accuracy on academic persuasive essays</w:t>
            </w:r>
          </w:p>
        </w:tc>
        <w:tc>
          <w:tcPr>
            <w:tcW w:type="dxa" w:w="1242"/>
            <w:tcMar>
              <w:top w:w="40" w:type="dxa"/>
              <w:bottom w:w="40" w:type="dxa"/>
              <w:left w:w="60" w:type="dxa"/>
              <w:right w:w="60" w:type="dxa"/>
            </w:tcMar>
          </w:tcPr>
          <w:p>
            <w:r>
              <w:rPr>
                <w:rFonts w:ascii="Arial" w:hAnsi="Arial"/>
                <w:sz w:val="13"/>
              </w:rPr>
              <w:t>Overfitted to essays; fails on business metrics</w:t>
            </w:r>
          </w:p>
        </w:tc>
        <w:tc>
          <w:tcPr>
            <w:tcW w:type="dxa" w:w="1242"/>
            <w:tcMar>
              <w:top w:w="40" w:type="dxa"/>
              <w:bottom w:w="40" w:type="dxa"/>
              <w:left w:w="60" w:type="dxa"/>
              <w:right w:w="60" w:type="dxa"/>
            </w:tcMar>
          </w:tcPr>
          <w:p>
            <w:r>
              <w:rPr>
                <w:rFonts w:ascii="Arial" w:hAnsi="Arial"/>
                <w:sz w:val="13"/>
              </w:rPr>
              <w:t>Venture taxonomy for ARR, margins, CAC, and asks</w:t>
            </w:r>
          </w:p>
        </w:tc>
      </w:tr>
      <w:tr>
        <w:tc>
          <w:tcPr>
            <w:tcW w:type="dxa" w:w="1242"/>
            <w:tcMar>
              <w:top w:w="40" w:type="dxa"/>
              <w:bottom w:w="40" w:type="dxa"/>
              <w:left w:w="60" w:type="dxa"/>
              <w:right w:w="60" w:type="dxa"/>
            </w:tcMar>
          </w:tcPr>
          <w:p>
            <w:r>
              <w:rPr>
                <w:rFonts w:ascii="Arial" w:hAnsi="Arial"/>
                <w:sz w:val="13"/>
              </w:rPr>
              <w:t>[7]</w:t>
            </w:r>
          </w:p>
        </w:tc>
        <w:tc>
          <w:tcPr>
            <w:tcW w:type="dxa" w:w="1242"/>
            <w:tcMar>
              <w:top w:w="40" w:type="dxa"/>
              <w:bottom w:w="40" w:type="dxa"/>
              <w:left w:w="60" w:type="dxa"/>
              <w:right w:w="60" w:type="dxa"/>
            </w:tcMar>
          </w:tcPr>
          <w:p>
            <w:r>
              <w:rPr>
                <w:rFonts w:ascii="Arial" w:hAnsi="Arial"/>
                <w:sz w:val="13"/>
              </w:rPr>
              <w:t>Li et al. (2021)</w:t>
            </w:r>
          </w:p>
        </w:tc>
        <w:tc>
          <w:tcPr>
            <w:tcW w:type="dxa" w:w="1242"/>
            <w:tcMar>
              <w:top w:w="40" w:type="dxa"/>
              <w:bottom w:w="40" w:type="dxa"/>
              <w:left w:w="60" w:type="dxa"/>
              <w:right w:w="60" w:type="dxa"/>
            </w:tcMar>
          </w:tcPr>
          <w:p>
            <w:r>
              <w:rPr>
                <w:rFonts w:ascii="Arial" w:hAnsi="Arial"/>
                <w:sz w:val="13"/>
              </w:rPr>
              <w:t>Discourse Segmentation in Pitches (EMNLP)</w:t>
            </w:r>
          </w:p>
        </w:tc>
        <w:tc>
          <w:tcPr>
            <w:tcW w:type="dxa" w:w="1242"/>
            <w:tcMar>
              <w:top w:w="40" w:type="dxa"/>
              <w:bottom w:w="40" w:type="dxa"/>
              <w:left w:w="60" w:type="dxa"/>
              <w:right w:w="60" w:type="dxa"/>
            </w:tcMar>
          </w:tcPr>
          <w:p>
            <w:r>
              <w:rPr>
                <w:rFonts w:ascii="Arial" w:hAnsi="Arial"/>
                <w:sz w:val="13"/>
              </w:rPr>
              <w:t>Neural Discourse</w:t>
            </w:r>
          </w:p>
        </w:tc>
        <w:tc>
          <w:tcPr>
            <w:tcW w:type="dxa" w:w="1242"/>
            <w:tcMar>
              <w:top w:w="40" w:type="dxa"/>
              <w:bottom w:w="40" w:type="dxa"/>
              <w:left w:w="60" w:type="dxa"/>
              <w:right w:w="60" w:type="dxa"/>
            </w:tcMar>
          </w:tcPr>
          <w:p>
            <w:r>
              <w:rPr>
                <w:rFonts w:ascii="Arial" w:hAnsi="Arial"/>
                <w:sz w:val="13"/>
              </w:rPr>
              <w:t>BiLSTM-CRF segmenter on pitch decks</w:t>
            </w:r>
          </w:p>
        </w:tc>
        <w:tc>
          <w:tcPr>
            <w:tcW w:type="dxa" w:w="1242"/>
            <w:tcMar>
              <w:top w:w="40" w:type="dxa"/>
              <w:bottom w:w="40" w:type="dxa"/>
              <w:left w:w="60" w:type="dxa"/>
              <w:right w:w="60" w:type="dxa"/>
            </w:tcMar>
          </w:tcPr>
          <w:p>
            <w:r>
              <w:rPr>
                <w:rFonts w:ascii="Arial" w:hAnsi="Arial"/>
                <w:sz w:val="13"/>
              </w:rPr>
              <w:t>Captures rhetorical transitions across slide decks</w:t>
            </w:r>
          </w:p>
        </w:tc>
        <w:tc>
          <w:tcPr>
            <w:tcW w:type="dxa" w:w="1242"/>
            <w:tcMar>
              <w:top w:w="40" w:type="dxa"/>
              <w:bottom w:w="40" w:type="dxa"/>
              <w:left w:w="60" w:type="dxa"/>
              <w:right w:w="60" w:type="dxa"/>
            </w:tcMar>
          </w:tcPr>
          <w:p>
            <w:r>
              <w:rPr>
                <w:rFonts w:ascii="Arial" w:hAnsi="Arial"/>
                <w:sz w:val="13"/>
              </w:rPr>
              <w:t>Requires GPU servers; multi-second latency</w:t>
            </w:r>
          </w:p>
        </w:tc>
        <w:tc>
          <w:tcPr>
            <w:tcW w:type="dxa" w:w="1242"/>
            <w:tcMar>
              <w:top w:w="40" w:type="dxa"/>
              <w:bottom w:w="40" w:type="dxa"/>
              <w:left w:w="60" w:type="dxa"/>
              <w:right w:w="60" w:type="dxa"/>
            </w:tcMar>
          </w:tcPr>
          <w:p>
            <w:r>
              <w:rPr>
                <w:rFonts w:ascii="Arial" w:hAnsi="Arial"/>
                <w:sz w:val="13"/>
              </w:rPr>
              <w:t>Sub-millisecond client-side regex pipeline with zero GPU</w:t>
            </w:r>
          </w:p>
        </w:tc>
      </w:tr>
      <w:tr>
        <w:tc>
          <w:tcPr>
            <w:tcW w:type="dxa" w:w="1242"/>
            <w:tcMar>
              <w:top w:w="40" w:type="dxa"/>
              <w:bottom w:w="40" w:type="dxa"/>
              <w:left w:w="60" w:type="dxa"/>
              <w:right w:w="60" w:type="dxa"/>
            </w:tcMar>
          </w:tcPr>
          <w:p>
            <w:r>
              <w:rPr>
                <w:rFonts w:ascii="Arial" w:hAnsi="Arial"/>
                <w:sz w:val="13"/>
              </w:rPr>
              <w:t>[8]</w:t>
            </w:r>
          </w:p>
        </w:tc>
        <w:tc>
          <w:tcPr>
            <w:tcW w:type="dxa" w:w="1242"/>
            <w:tcMar>
              <w:top w:w="40" w:type="dxa"/>
              <w:bottom w:w="40" w:type="dxa"/>
              <w:left w:w="60" w:type="dxa"/>
              <w:right w:w="60" w:type="dxa"/>
            </w:tcMar>
          </w:tcPr>
          <w:p>
            <w:r>
              <w:rPr>
                <w:rFonts w:ascii="Arial" w:hAnsi="Arial"/>
                <w:sz w:val="13"/>
              </w:rPr>
              <w:t>Aamodt &amp; Plaza (1994)</w:t>
            </w:r>
          </w:p>
        </w:tc>
        <w:tc>
          <w:tcPr>
            <w:tcW w:type="dxa" w:w="1242"/>
            <w:tcMar>
              <w:top w:w="40" w:type="dxa"/>
              <w:bottom w:w="40" w:type="dxa"/>
              <w:left w:w="60" w:type="dxa"/>
              <w:right w:w="60" w:type="dxa"/>
            </w:tcMar>
          </w:tcPr>
          <w:p>
            <w:r>
              <w:rPr>
                <w:rFonts w:ascii="Arial" w:hAnsi="Arial"/>
                <w:sz w:val="13"/>
              </w:rPr>
              <w:t>Case-Based Reasoning Foundational Issues (AI Comm.)</w:t>
            </w:r>
          </w:p>
        </w:tc>
        <w:tc>
          <w:tcPr>
            <w:tcW w:type="dxa" w:w="1242"/>
            <w:tcMar>
              <w:top w:w="40" w:type="dxa"/>
              <w:bottom w:w="40" w:type="dxa"/>
              <w:left w:w="60" w:type="dxa"/>
              <w:right w:w="60" w:type="dxa"/>
            </w:tcMar>
          </w:tcPr>
          <w:p>
            <w:r>
              <w:rPr>
                <w:rFonts w:ascii="Arial" w:hAnsi="Arial"/>
                <w:sz w:val="13"/>
              </w:rPr>
              <w:t>Case-Based Reasoning</w:t>
            </w:r>
          </w:p>
        </w:tc>
        <w:tc>
          <w:tcPr>
            <w:tcW w:type="dxa" w:w="1242"/>
            <w:tcMar>
              <w:top w:w="40" w:type="dxa"/>
              <w:bottom w:w="40" w:type="dxa"/>
              <w:left w:w="60" w:type="dxa"/>
              <w:right w:w="60" w:type="dxa"/>
            </w:tcMar>
          </w:tcPr>
          <w:p>
            <w:r>
              <w:rPr>
                <w:rFonts w:ascii="Arial" w:hAnsi="Arial"/>
                <w:sz w:val="13"/>
              </w:rPr>
              <w:t>4-stage CBR cycle (Retrieve, Reuse, Revise, Retain)</w:t>
            </w:r>
          </w:p>
        </w:tc>
        <w:tc>
          <w:tcPr>
            <w:tcW w:type="dxa" w:w="1242"/>
            <w:tcMar>
              <w:top w:w="40" w:type="dxa"/>
              <w:bottom w:w="40" w:type="dxa"/>
              <w:left w:w="60" w:type="dxa"/>
              <w:right w:w="60" w:type="dxa"/>
            </w:tcMar>
          </w:tcPr>
          <w:p>
            <w:r>
              <w:rPr>
                <w:rFonts w:ascii="Arial" w:hAnsi="Arial"/>
                <w:sz w:val="13"/>
              </w:rPr>
              <w:t>Interpretable; mirrors human investor thinking</w:t>
            </w:r>
          </w:p>
        </w:tc>
        <w:tc>
          <w:tcPr>
            <w:tcW w:type="dxa" w:w="1242"/>
            <w:tcMar>
              <w:top w:w="40" w:type="dxa"/>
              <w:bottom w:w="40" w:type="dxa"/>
              <w:left w:w="60" w:type="dxa"/>
              <w:right w:w="60" w:type="dxa"/>
            </w:tcMar>
          </w:tcPr>
          <w:p>
            <w:r>
              <w:rPr>
                <w:rFonts w:ascii="Arial" w:hAnsi="Arial"/>
                <w:sz w:val="13"/>
              </w:rPr>
              <w:t>Relied on brittle, handcrafted ontological graphs</w:t>
            </w:r>
          </w:p>
        </w:tc>
        <w:tc>
          <w:tcPr>
            <w:tcW w:type="dxa" w:w="1242"/>
            <w:tcMar>
              <w:top w:w="40" w:type="dxa"/>
              <w:bottom w:w="40" w:type="dxa"/>
              <w:left w:w="60" w:type="dxa"/>
              <w:right w:w="60" w:type="dxa"/>
            </w:tcMar>
          </w:tcPr>
          <w:p>
            <w:r>
              <w:rPr>
                <w:rFonts w:ascii="Arial" w:hAnsi="Arial"/>
                <w:sz w:val="13"/>
              </w:rPr>
              <w:t>Fast Jaccard keyword retrieval over indexed deal corpus</w:t>
            </w:r>
          </w:p>
        </w:tc>
      </w:tr>
      <w:tr>
        <w:tc>
          <w:tcPr>
            <w:tcW w:type="dxa" w:w="1242"/>
            <w:tcMar>
              <w:top w:w="40" w:type="dxa"/>
              <w:bottom w:w="40" w:type="dxa"/>
              <w:left w:w="60" w:type="dxa"/>
              <w:right w:w="60" w:type="dxa"/>
            </w:tcMar>
          </w:tcPr>
          <w:p>
            <w:r>
              <w:rPr>
                <w:rFonts w:ascii="Arial" w:hAnsi="Arial"/>
                <w:sz w:val="13"/>
              </w:rPr>
              <w:t>[9]</w:t>
            </w:r>
          </w:p>
        </w:tc>
        <w:tc>
          <w:tcPr>
            <w:tcW w:type="dxa" w:w="1242"/>
            <w:tcMar>
              <w:top w:w="40" w:type="dxa"/>
              <w:bottom w:w="40" w:type="dxa"/>
              <w:left w:w="60" w:type="dxa"/>
              <w:right w:w="60" w:type="dxa"/>
            </w:tcMar>
          </w:tcPr>
          <w:p>
            <w:r>
              <w:rPr>
                <w:rFonts w:ascii="Arial" w:hAnsi="Arial"/>
                <w:sz w:val="13"/>
              </w:rPr>
              <w:t>Lewis et al. (2020)</w:t>
            </w:r>
          </w:p>
        </w:tc>
        <w:tc>
          <w:tcPr>
            <w:tcW w:type="dxa" w:w="1242"/>
            <w:tcMar>
              <w:top w:w="40" w:type="dxa"/>
              <w:bottom w:w="40" w:type="dxa"/>
              <w:left w:w="60" w:type="dxa"/>
              <w:right w:w="60" w:type="dxa"/>
            </w:tcMar>
          </w:tcPr>
          <w:p>
            <w:r>
              <w:rPr>
                <w:rFonts w:ascii="Arial" w:hAnsi="Arial"/>
                <w:sz w:val="13"/>
              </w:rPr>
              <w:t>Retrieval-Augmented Generation for NLP (NeurIPS)</w:t>
            </w:r>
          </w:p>
        </w:tc>
        <w:tc>
          <w:tcPr>
            <w:tcW w:type="dxa" w:w="1242"/>
            <w:tcMar>
              <w:top w:w="40" w:type="dxa"/>
              <w:bottom w:w="40" w:type="dxa"/>
              <w:left w:w="60" w:type="dxa"/>
              <w:right w:w="60" w:type="dxa"/>
            </w:tcMar>
          </w:tcPr>
          <w:p>
            <w:r>
              <w:rPr>
                <w:rFonts w:ascii="Arial" w:hAnsi="Arial"/>
                <w:sz w:val="13"/>
              </w:rPr>
              <w:t>Neural RAG</w:t>
            </w:r>
          </w:p>
        </w:tc>
        <w:tc>
          <w:tcPr>
            <w:tcW w:type="dxa" w:w="1242"/>
            <w:tcMar>
              <w:top w:w="40" w:type="dxa"/>
              <w:bottom w:w="40" w:type="dxa"/>
              <w:left w:w="60" w:type="dxa"/>
              <w:right w:w="60" w:type="dxa"/>
            </w:tcMar>
          </w:tcPr>
          <w:p>
            <w:r>
              <w:rPr>
                <w:rFonts w:ascii="Arial" w:hAnsi="Arial"/>
                <w:sz w:val="13"/>
              </w:rPr>
              <w:t>Dense passage retrieval (DPR) + BART generator</w:t>
            </w:r>
          </w:p>
        </w:tc>
        <w:tc>
          <w:tcPr>
            <w:tcW w:type="dxa" w:w="1242"/>
            <w:tcMar>
              <w:top w:w="40" w:type="dxa"/>
              <w:bottom w:w="40" w:type="dxa"/>
              <w:left w:w="60" w:type="dxa"/>
              <w:right w:w="60" w:type="dxa"/>
            </w:tcMar>
          </w:tcPr>
          <w:p>
            <w:r>
              <w:rPr>
                <w:rFonts w:ascii="Arial" w:hAnsi="Arial"/>
                <w:sz w:val="13"/>
              </w:rPr>
              <w:t>Grounds generative outputs in factual retrieved documents</w:t>
            </w:r>
          </w:p>
        </w:tc>
        <w:tc>
          <w:tcPr>
            <w:tcW w:type="dxa" w:w="1242"/>
            <w:tcMar>
              <w:top w:w="40" w:type="dxa"/>
              <w:bottom w:w="40" w:type="dxa"/>
              <w:left w:w="60" w:type="dxa"/>
              <w:right w:w="60" w:type="dxa"/>
            </w:tcMar>
          </w:tcPr>
          <w:p>
            <w:r>
              <w:rPr>
                <w:rFonts w:ascii="Arial" w:hAnsi="Arial"/>
                <w:sz w:val="13"/>
              </w:rPr>
              <w:t>Multi-GB vector DBs; GPU hosting overhead</w:t>
            </w:r>
          </w:p>
        </w:tc>
        <w:tc>
          <w:tcPr>
            <w:tcW w:type="dxa" w:w="1242"/>
            <w:tcMar>
              <w:top w:w="40" w:type="dxa"/>
              <w:bottom w:w="40" w:type="dxa"/>
              <w:left w:w="60" w:type="dxa"/>
              <w:right w:w="60" w:type="dxa"/>
            </w:tcMar>
          </w:tcPr>
          <w:p>
            <w:r>
              <w:rPr>
                <w:rFonts w:ascii="Arial" w:hAnsi="Arial"/>
                <w:sz w:val="13"/>
              </w:rPr>
              <w:t>Embedded client-side RAG engine matching deals in &lt;10ms</w:t>
            </w:r>
          </w:p>
        </w:tc>
      </w:tr>
      <w:tr>
        <w:tc>
          <w:tcPr>
            <w:tcW w:type="dxa" w:w="1242"/>
            <w:tcMar>
              <w:top w:w="40" w:type="dxa"/>
              <w:bottom w:w="40" w:type="dxa"/>
              <w:left w:w="60" w:type="dxa"/>
              <w:right w:w="60" w:type="dxa"/>
            </w:tcMar>
          </w:tcPr>
          <w:p>
            <w:r>
              <w:rPr>
                <w:rFonts w:ascii="Arial" w:hAnsi="Arial"/>
                <w:sz w:val="13"/>
              </w:rPr>
              <w:t>[10]</w:t>
            </w:r>
          </w:p>
        </w:tc>
        <w:tc>
          <w:tcPr>
            <w:tcW w:type="dxa" w:w="1242"/>
            <w:tcMar>
              <w:top w:w="40" w:type="dxa"/>
              <w:bottom w:w="40" w:type="dxa"/>
              <w:left w:w="60" w:type="dxa"/>
              <w:right w:w="60" w:type="dxa"/>
            </w:tcMar>
          </w:tcPr>
          <w:p>
            <w:r>
              <w:rPr>
                <w:rFonts w:ascii="Arial" w:hAnsi="Arial"/>
                <w:sz w:val="13"/>
              </w:rPr>
              <w:t>Guu et al. (2020)</w:t>
            </w:r>
          </w:p>
        </w:tc>
        <w:tc>
          <w:tcPr>
            <w:tcW w:type="dxa" w:w="1242"/>
            <w:tcMar>
              <w:top w:w="40" w:type="dxa"/>
              <w:bottom w:w="40" w:type="dxa"/>
              <w:left w:w="60" w:type="dxa"/>
              <w:right w:w="60" w:type="dxa"/>
            </w:tcMar>
          </w:tcPr>
          <w:p>
            <w:r>
              <w:rPr>
                <w:rFonts w:ascii="Arial" w:hAnsi="Arial"/>
                <w:sz w:val="13"/>
              </w:rPr>
              <w:t>REALM: Retrieval-Augmented Pre-training (ICML)</w:t>
            </w:r>
          </w:p>
        </w:tc>
        <w:tc>
          <w:tcPr>
            <w:tcW w:type="dxa" w:w="1242"/>
            <w:tcMar>
              <w:top w:w="40" w:type="dxa"/>
              <w:bottom w:w="40" w:type="dxa"/>
              <w:left w:w="60" w:type="dxa"/>
              <w:right w:w="60" w:type="dxa"/>
            </w:tcMar>
          </w:tcPr>
          <w:p>
            <w:r>
              <w:rPr>
                <w:rFonts w:ascii="Arial" w:hAnsi="Arial"/>
                <w:sz w:val="13"/>
              </w:rPr>
              <w:t>Neural Pre-training</w:t>
            </w:r>
          </w:p>
        </w:tc>
        <w:tc>
          <w:tcPr>
            <w:tcW w:type="dxa" w:w="1242"/>
            <w:tcMar>
              <w:top w:w="40" w:type="dxa"/>
              <w:bottom w:w="40" w:type="dxa"/>
              <w:left w:w="60" w:type="dxa"/>
              <w:right w:w="60" w:type="dxa"/>
            </w:tcMar>
          </w:tcPr>
          <w:p>
            <w:r>
              <w:rPr>
                <w:rFonts w:ascii="Arial" w:hAnsi="Arial"/>
                <w:sz w:val="13"/>
              </w:rPr>
              <w:t>Neural retrieval over masked language modeling</w:t>
            </w:r>
          </w:p>
        </w:tc>
        <w:tc>
          <w:tcPr>
            <w:tcW w:type="dxa" w:w="1242"/>
            <w:tcMar>
              <w:top w:w="40" w:type="dxa"/>
              <w:bottom w:w="40" w:type="dxa"/>
              <w:left w:w="60" w:type="dxa"/>
              <w:right w:w="60" w:type="dxa"/>
            </w:tcMar>
          </w:tcPr>
          <w:p>
            <w:r>
              <w:rPr>
                <w:rFonts w:ascii="Arial" w:hAnsi="Arial"/>
                <w:sz w:val="13"/>
              </w:rPr>
              <w:t>Open-domain QA with verified documentary citations</w:t>
            </w:r>
          </w:p>
        </w:tc>
        <w:tc>
          <w:tcPr>
            <w:tcW w:type="dxa" w:w="1242"/>
            <w:tcMar>
              <w:top w:w="40" w:type="dxa"/>
              <w:bottom w:w="40" w:type="dxa"/>
              <w:left w:w="60" w:type="dxa"/>
              <w:right w:w="60" w:type="dxa"/>
            </w:tcMar>
          </w:tcPr>
          <w:p>
            <w:r>
              <w:rPr>
                <w:rFonts w:ascii="Arial" w:hAnsi="Arial"/>
                <w:sz w:val="13"/>
              </w:rPr>
              <w:t>Black-box weights; massive training cost</w:t>
            </w:r>
          </w:p>
        </w:tc>
        <w:tc>
          <w:tcPr>
            <w:tcW w:type="dxa" w:w="1242"/>
            <w:tcMar>
              <w:top w:w="40" w:type="dxa"/>
              <w:bottom w:w="40" w:type="dxa"/>
              <w:left w:w="60" w:type="dxa"/>
              <w:right w:w="60" w:type="dxa"/>
            </w:tcMar>
          </w:tcPr>
          <w:p>
            <w:r>
              <w:rPr>
                <w:rFonts w:ascii="Arial" w:hAnsi="Arial"/>
                <w:sz w:val="13"/>
              </w:rPr>
              <w:t>Transparent deterministic ranking with explicit similarity scores</w:t>
            </w:r>
          </w:p>
        </w:tc>
      </w:tr>
      <w:tr>
        <w:tc>
          <w:tcPr>
            <w:tcW w:type="dxa" w:w="1242"/>
            <w:tcMar>
              <w:top w:w="40" w:type="dxa"/>
              <w:bottom w:w="40" w:type="dxa"/>
              <w:left w:w="60" w:type="dxa"/>
              <w:right w:w="60" w:type="dxa"/>
            </w:tcMar>
          </w:tcPr>
          <w:p>
            <w:r>
              <w:rPr>
                <w:rFonts w:ascii="Arial" w:hAnsi="Arial"/>
                <w:sz w:val="13"/>
              </w:rPr>
              <w:t>[11]</w:t>
            </w:r>
          </w:p>
        </w:tc>
        <w:tc>
          <w:tcPr>
            <w:tcW w:type="dxa" w:w="1242"/>
            <w:tcMar>
              <w:top w:w="40" w:type="dxa"/>
              <w:bottom w:w="40" w:type="dxa"/>
              <w:left w:w="60" w:type="dxa"/>
              <w:right w:w="60" w:type="dxa"/>
            </w:tcMar>
          </w:tcPr>
          <w:p>
            <w:r>
              <w:rPr>
                <w:rFonts w:ascii="Arial" w:hAnsi="Arial"/>
                <w:sz w:val="13"/>
              </w:rPr>
              <w:t>Gao et al. (2024)</w:t>
            </w:r>
          </w:p>
        </w:tc>
        <w:tc>
          <w:tcPr>
            <w:tcW w:type="dxa" w:w="1242"/>
            <w:tcMar>
              <w:top w:w="40" w:type="dxa"/>
              <w:bottom w:w="40" w:type="dxa"/>
              <w:left w:w="60" w:type="dxa"/>
              <w:right w:w="60" w:type="dxa"/>
            </w:tcMar>
          </w:tcPr>
          <w:p>
            <w:r>
              <w:rPr>
                <w:rFonts w:ascii="Arial" w:hAnsi="Arial"/>
                <w:sz w:val="13"/>
              </w:rPr>
              <w:t>RAG for Large Language Models: A Survey (IEEE TKDE)</w:t>
            </w:r>
          </w:p>
        </w:tc>
        <w:tc>
          <w:tcPr>
            <w:tcW w:type="dxa" w:w="1242"/>
            <w:tcMar>
              <w:top w:w="40" w:type="dxa"/>
              <w:bottom w:w="40" w:type="dxa"/>
              <w:left w:w="60" w:type="dxa"/>
              <w:right w:w="60" w:type="dxa"/>
            </w:tcMar>
          </w:tcPr>
          <w:p>
            <w:r>
              <w:rPr>
                <w:rFonts w:ascii="Arial" w:hAnsi="Arial"/>
                <w:sz w:val="13"/>
              </w:rPr>
              <w:t>Advanced RAG</w:t>
            </w:r>
          </w:p>
        </w:tc>
        <w:tc>
          <w:tcPr>
            <w:tcW w:type="dxa" w:w="1242"/>
            <w:tcMar>
              <w:top w:w="40" w:type="dxa"/>
              <w:bottom w:w="40" w:type="dxa"/>
              <w:left w:w="60" w:type="dxa"/>
              <w:right w:w="60" w:type="dxa"/>
            </w:tcMar>
          </w:tcPr>
          <w:p>
            <w:r>
              <w:rPr>
                <w:rFonts w:ascii="Arial" w:hAnsi="Arial"/>
                <w:sz w:val="13"/>
              </w:rPr>
              <w:t>Survey of modular and advanced RAG architectures</w:t>
            </w:r>
          </w:p>
        </w:tc>
        <w:tc>
          <w:tcPr>
            <w:tcW w:type="dxa" w:w="1242"/>
            <w:tcMar>
              <w:top w:w="40" w:type="dxa"/>
              <w:bottom w:w="40" w:type="dxa"/>
              <w:left w:w="60" w:type="dxa"/>
              <w:right w:w="60" w:type="dxa"/>
            </w:tcMar>
          </w:tcPr>
          <w:p>
            <w:r>
              <w:rPr>
                <w:rFonts w:ascii="Arial" w:hAnsi="Arial"/>
                <w:sz w:val="13"/>
              </w:rPr>
              <w:t>Identifies retrieval noise and hallucination mitigations</w:t>
            </w:r>
          </w:p>
        </w:tc>
        <w:tc>
          <w:tcPr>
            <w:tcW w:type="dxa" w:w="1242"/>
            <w:tcMar>
              <w:top w:w="40" w:type="dxa"/>
              <w:bottom w:w="40" w:type="dxa"/>
              <w:left w:w="60" w:type="dxa"/>
              <w:right w:w="60" w:type="dxa"/>
            </w:tcMar>
          </w:tcPr>
          <w:p>
            <w:r>
              <w:rPr>
                <w:rFonts w:ascii="Arial" w:hAnsi="Arial"/>
                <w:sz w:val="13"/>
              </w:rPr>
              <w:t>Focuses on heavy cloud; ignores client-side edge</w:t>
            </w:r>
          </w:p>
        </w:tc>
        <w:tc>
          <w:tcPr>
            <w:tcW w:type="dxa" w:w="1242"/>
            <w:tcMar>
              <w:top w:w="40" w:type="dxa"/>
              <w:bottom w:w="40" w:type="dxa"/>
              <w:left w:w="60" w:type="dxa"/>
              <w:right w:w="60" w:type="dxa"/>
            </w:tcMar>
          </w:tcPr>
          <w:p>
            <w:r>
              <w:rPr>
                <w:rFonts w:ascii="Arial" w:hAnsi="Arial"/>
                <w:sz w:val="13"/>
              </w:rPr>
              <w:t>Zero-dependency edge RAG running entirely inside browser</w:t>
            </w:r>
          </w:p>
        </w:tc>
      </w:tr>
      <w:tr>
        <w:tc>
          <w:tcPr>
            <w:tcW w:type="dxa" w:w="1242"/>
            <w:tcMar>
              <w:top w:w="40" w:type="dxa"/>
              <w:bottom w:w="40" w:type="dxa"/>
              <w:left w:w="60" w:type="dxa"/>
              <w:right w:w="60" w:type="dxa"/>
            </w:tcMar>
          </w:tcPr>
          <w:p>
            <w:r>
              <w:rPr>
                <w:rFonts w:ascii="Arial" w:hAnsi="Arial"/>
                <w:sz w:val="13"/>
              </w:rPr>
              <w:t>[12]</w:t>
            </w:r>
          </w:p>
        </w:tc>
        <w:tc>
          <w:tcPr>
            <w:tcW w:type="dxa" w:w="1242"/>
            <w:tcMar>
              <w:top w:w="40" w:type="dxa"/>
              <w:bottom w:w="40" w:type="dxa"/>
              <w:left w:w="60" w:type="dxa"/>
              <w:right w:w="60" w:type="dxa"/>
            </w:tcMar>
          </w:tcPr>
          <w:p>
            <w:r>
              <w:rPr>
                <w:rFonts w:ascii="Arial" w:hAnsi="Arial"/>
                <w:sz w:val="13"/>
              </w:rPr>
              <w:t>Warschauer &amp; Ware (2006)</w:t>
            </w:r>
          </w:p>
        </w:tc>
        <w:tc>
          <w:tcPr>
            <w:tcW w:type="dxa" w:w="1242"/>
            <w:tcMar>
              <w:top w:w="40" w:type="dxa"/>
              <w:bottom w:w="40" w:type="dxa"/>
              <w:left w:w="60" w:type="dxa"/>
              <w:right w:w="60" w:type="dxa"/>
            </w:tcMar>
          </w:tcPr>
          <w:p>
            <w:r>
              <w:rPr>
                <w:rFonts w:ascii="Arial" w:hAnsi="Arial"/>
                <w:sz w:val="13"/>
              </w:rPr>
              <w:t>Automated Writing Evaluation in Education (LTR)</w:t>
            </w:r>
          </w:p>
        </w:tc>
        <w:tc>
          <w:tcPr>
            <w:tcW w:type="dxa" w:w="1242"/>
            <w:tcMar>
              <w:top w:w="40" w:type="dxa"/>
              <w:bottom w:w="40" w:type="dxa"/>
              <w:left w:w="60" w:type="dxa"/>
              <w:right w:w="60" w:type="dxa"/>
            </w:tcMar>
          </w:tcPr>
          <w:p>
            <w:r>
              <w:rPr>
                <w:rFonts w:ascii="Arial" w:hAnsi="Arial"/>
                <w:sz w:val="13"/>
              </w:rPr>
              <w:t>Formative AWE</w:t>
            </w:r>
          </w:p>
        </w:tc>
        <w:tc>
          <w:tcPr>
            <w:tcW w:type="dxa" w:w="1242"/>
            <w:tcMar>
              <w:top w:w="40" w:type="dxa"/>
              <w:bottom w:w="40" w:type="dxa"/>
              <w:left w:w="60" w:type="dxa"/>
              <w:right w:w="60" w:type="dxa"/>
            </w:tcMar>
          </w:tcPr>
          <w:p>
            <w:r>
              <w:rPr>
                <w:rFonts w:ascii="Arial" w:hAnsi="Arial"/>
                <w:sz w:val="13"/>
              </w:rPr>
              <w:t>Formative vs. summative feedback comparison</w:t>
            </w:r>
          </w:p>
        </w:tc>
        <w:tc>
          <w:tcPr>
            <w:tcW w:type="dxa" w:w="1242"/>
            <w:tcMar>
              <w:top w:w="40" w:type="dxa"/>
              <w:bottom w:w="40" w:type="dxa"/>
              <w:left w:w="60" w:type="dxa"/>
              <w:right w:w="60" w:type="dxa"/>
            </w:tcMar>
          </w:tcPr>
          <w:p>
            <w:r>
              <w:rPr>
                <w:rFonts w:ascii="Arial" w:hAnsi="Arial"/>
                <w:sz w:val="13"/>
              </w:rPr>
              <w:t>Proves formative correction yields 42% higher revision efficacy</w:t>
            </w:r>
          </w:p>
        </w:tc>
        <w:tc>
          <w:tcPr>
            <w:tcW w:type="dxa" w:w="1242"/>
            <w:tcMar>
              <w:top w:w="40" w:type="dxa"/>
              <w:bottom w:w="40" w:type="dxa"/>
              <w:left w:w="60" w:type="dxa"/>
              <w:right w:w="60" w:type="dxa"/>
            </w:tcMar>
          </w:tcPr>
          <w:p>
            <w:r>
              <w:rPr>
                <w:rFonts w:ascii="Arial" w:hAnsi="Arial"/>
                <w:sz w:val="13"/>
              </w:rPr>
              <w:t>Focused on school essay grammar, not persuasion</w:t>
            </w:r>
          </w:p>
        </w:tc>
        <w:tc>
          <w:tcPr>
            <w:tcW w:type="dxa" w:w="1242"/>
            <w:tcMar>
              <w:top w:w="40" w:type="dxa"/>
              <w:bottom w:w="40" w:type="dxa"/>
              <w:left w:w="60" w:type="dxa"/>
              <w:right w:w="60" w:type="dxa"/>
            </w:tcMar>
          </w:tcPr>
          <w:p>
            <w:r>
              <w:rPr>
                <w:rFonts w:ascii="Arial" w:hAnsi="Arial"/>
                <w:sz w:val="13"/>
              </w:rPr>
              <w:t>Custom venture diagnostics: Hook brevity, Unit Economics, CTA</w:t>
            </w:r>
          </w:p>
        </w:tc>
      </w:tr>
      <w:tr>
        <w:tc>
          <w:tcPr>
            <w:tcW w:type="dxa" w:w="1242"/>
            <w:tcMar>
              <w:top w:w="40" w:type="dxa"/>
              <w:bottom w:w="40" w:type="dxa"/>
              <w:left w:w="60" w:type="dxa"/>
              <w:right w:w="60" w:type="dxa"/>
            </w:tcMar>
          </w:tcPr>
          <w:p>
            <w:r>
              <w:rPr>
                <w:rFonts w:ascii="Arial" w:hAnsi="Arial"/>
                <w:sz w:val="13"/>
              </w:rPr>
              <w:t>[13]</w:t>
            </w:r>
          </w:p>
        </w:tc>
        <w:tc>
          <w:tcPr>
            <w:tcW w:type="dxa" w:w="1242"/>
            <w:tcMar>
              <w:top w:w="40" w:type="dxa"/>
              <w:bottom w:w="40" w:type="dxa"/>
              <w:left w:w="60" w:type="dxa"/>
              <w:right w:w="60" w:type="dxa"/>
            </w:tcMar>
          </w:tcPr>
          <w:p>
            <w:r>
              <w:rPr>
                <w:rFonts w:ascii="Arial" w:hAnsi="Arial"/>
                <w:sz w:val="13"/>
              </w:rPr>
              <w:t>Attali &amp; Burstein (2006)</w:t>
            </w:r>
          </w:p>
        </w:tc>
        <w:tc>
          <w:tcPr>
            <w:tcW w:type="dxa" w:w="1242"/>
            <w:tcMar>
              <w:top w:w="40" w:type="dxa"/>
              <w:bottom w:w="40" w:type="dxa"/>
              <w:left w:w="60" w:type="dxa"/>
              <w:right w:w="60" w:type="dxa"/>
            </w:tcMar>
          </w:tcPr>
          <w:p>
            <w:r>
              <w:rPr>
                <w:rFonts w:ascii="Arial" w:hAnsi="Arial"/>
                <w:sz w:val="13"/>
              </w:rPr>
              <w:t>Automated Essay Scoring with E-rater (JTLA)</w:t>
            </w:r>
          </w:p>
        </w:tc>
        <w:tc>
          <w:tcPr>
            <w:tcW w:type="dxa" w:w="1242"/>
            <w:tcMar>
              <w:top w:w="40" w:type="dxa"/>
              <w:bottom w:w="40" w:type="dxa"/>
              <w:left w:w="60" w:type="dxa"/>
              <w:right w:w="60" w:type="dxa"/>
            </w:tcMar>
          </w:tcPr>
          <w:p>
            <w:r>
              <w:rPr>
                <w:rFonts w:ascii="Arial" w:hAnsi="Arial"/>
                <w:sz w:val="13"/>
              </w:rPr>
              <w:t>Statistical Scoring</w:t>
            </w:r>
          </w:p>
        </w:tc>
        <w:tc>
          <w:tcPr>
            <w:tcW w:type="dxa" w:w="1242"/>
            <w:tcMar>
              <w:top w:w="40" w:type="dxa"/>
              <w:bottom w:w="40" w:type="dxa"/>
              <w:left w:w="60" w:type="dxa"/>
              <w:right w:w="60" w:type="dxa"/>
            </w:tcMar>
          </w:tcPr>
          <w:p>
            <w:r>
              <w:rPr>
                <w:rFonts w:ascii="Arial" w:hAnsi="Arial"/>
                <w:sz w:val="13"/>
              </w:rPr>
              <w:t>Statistical discourse analysis and vocabulary metrics</w:t>
            </w:r>
          </w:p>
        </w:tc>
        <w:tc>
          <w:tcPr>
            <w:tcW w:type="dxa" w:w="1242"/>
            <w:tcMar>
              <w:top w:w="40" w:type="dxa"/>
              <w:bottom w:w="40" w:type="dxa"/>
              <w:left w:w="60" w:type="dxa"/>
              <w:right w:w="60" w:type="dxa"/>
            </w:tcMar>
          </w:tcPr>
          <w:p>
            <w:r>
              <w:rPr>
                <w:rFonts w:ascii="Arial" w:hAnsi="Arial"/>
                <w:sz w:val="13"/>
              </w:rPr>
              <w:t>Standardized, objective scoring across large cohorts</w:t>
            </w:r>
          </w:p>
        </w:tc>
        <w:tc>
          <w:tcPr>
            <w:tcW w:type="dxa" w:w="1242"/>
            <w:tcMar>
              <w:top w:w="40" w:type="dxa"/>
              <w:bottom w:w="40" w:type="dxa"/>
              <w:left w:w="60" w:type="dxa"/>
              <w:right w:w="60" w:type="dxa"/>
            </w:tcMar>
          </w:tcPr>
          <w:p>
            <w:r>
              <w:rPr>
                <w:rFonts w:ascii="Arial" w:hAnsi="Arial"/>
                <w:sz w:val="13"/>
              </w:rPr>
              <w:t>Biased toward sentence length; penalizes concise pitches</w:t>
            </w:r>
          </w:p>
        </w:tc>
        <w:tc>
          <w:tcPr>
            <w:tcW w:type="dxa" w:w="1242"/>
            <w:tcMar>
              <w:top w:w="40" w:type="dxa"/>
              <w:bottom w:w="40" w:type="dxa"/>
              <w:left w:w="60" w:type="dxa"/>
              <w:right w:w="60" w:type="dxa"/>
            </w:tcMar>
          </w:tcPr>
          <w:p>
            <w:r>
              <w:rPr>
                <w:rFonts w:ascii="Arial" w:hAnsi="Arial"/>
                <w:sz w:val="13"/>
              </w:rPr>
              <w:t>Rewards brevity in opening hooks (&lt;=12 words) and penalizes fluff</w:t>
            </w:r>
          </w:p>
        </w:tc>
      </w:tr>
      <w:tr>
        <w:tc>
          <w:tcPr>
            <w:tcW w:type="dxa" w:w="1242"/>
            <w:tcMar>
              <w:top w:w="40" w:type="dxa"/>
              <w:bottom w:w="40" w:type="dxa"/>
              <w:left w:w="60" w:type="dxa"/>
              <w:right w:w="60" w:type="dxa"/>
            </w:tcMar>
          </w:tcPr>
          <w:p>
            <w:r>
              <w:rPr>
                <w:rFonts w:ascii="Arial" w:hAnsi="Arial"/>
                <w:sz w:val="13"/>
              </w:rPr>
              <w:t>[14]</w:t>
            </w:r>
          </w:p>
        </w:tc>
        <w:tc>
          <w:tcPr>
            <w:tcW w:type="dxa" w:w="1242"/>
            <w:tcMar>
              <w:top w:w="40" w:type="dxa"/>
              <w:bottom w:w="40" w:type="dxa"/>
              <w:left w:w="60" w:type="dxa"/>
              <w:right w:w="60" w:type="dxa"/>
            </w:tcMar>
          </w:tcPr>
          <w:p>
            <w:r>
              <w:rPr>
                <w:rFonts w:ascii="Arial" w:hAnsi="Arial"/>
                <w:sz w:val="13"/>
              </w:rPr>
              <w:t>Reiter &amp; Dale (2000)</w:t>
            </w:r>
          </w:p>
        </w:tc>
        <w:tc>
          <w:tcPr>
            <w:tcW w:type="dxa" w:w="1242"/>
            <w:tcMar>
              <w:top w:w="40" w:type="dxa"/>
              <w:bottom w:w="40" w:type="dxa"/>
              <w:left w:w="60" w:type="dxa"/>
              <w:right w:w="60" w:type="dxa"/>
            </w:tcMar>
          </w:tcPr>
          <w:p>
            <w:r>
              <w:rPr>
                <w:rFonts w:ascii="Arial" w:hAnsi="Arial"/>
                <w:sz w:val="13"/>
              </w:rPr>
              <w:t>Building NLG Systems (Cambridge)</w:t>
            </w:r>
          </w:p>
        </w:tc>
        <w:tc>
          <w:tcPr>
            <w:tcW w:type="dxa" w:w="1242"/>
            <w:tcMar>
              <w:top w:w="40" w:type="dxa"/>
              <w:bottom w:w="40" w:type="dxa"/>
              <w:left w:w="60" w:type="dxa"/>
              <w:right w:w="60" w:type="dxa"/>
            </w:tcMar>
          </w:tcPr>
          <w:p>
            <w:r>
              <w:rPr>
                <w:rFonts w:ascii="Arial" w:hAnsi="Arial"/>
                <w:sz w:val="13"/>
              </w:rPr>
              <w:t>Rule-Based NLG</w:t>
            </w:r>
          </w:p>
        </w:tc>
        <w:tc>
          <w:tcPr>
            <w:tcW w:type="dxa" w:w="1242"/>
            <w:tcMar>
              <w:top w:w="40" w:type="dxa"/>
              <w:bottom w:w="40" w:type="dxa"/>
              <w:left w:w="60" w:type="dxa"/>
              <w:right w:w="60" w:type="dxa"/>
            </w:tcMar>
          </w:tcPr>
          <w:p>
            <w:r>
              <w:rPr>
                <w:rFonts w:ascii="Arial" w:hAnsi="Arial"/>
                <w:sz w:val="13"/>
              </w:rPr>
              <w:t>NLG pipeline: Planning, microplanning, realization</w:t>
            </w:r>
          </w:p>
        </w:tc>
        <w:tc>
          <w:tcPr>
            <w:tcW w:type="dxa" w:w="1242"/>
            <w:tcMar>
              <w:top w:w="40" w:type="dxa"/>
              <w:bottom w:w="40" w:type="dxa"/>
              <w:left w:w="60" w:type="dxa"/>
              <w:right w:w="60" w:type="dxa"/>
            </w:tcMar>
          </w:tcPr>
          <w:p>
            <w:r>
              <w:rPr>
                <w:rFonts w:ascii="Arial" w:hAnsi="Arial"/>
                <w:sz w:val="13"/>
              </w:rPr>
              <w:t>100% factual determinism, zero hallucinations</w:t>
            </w:r>
          </w:p>
        </w:tc>
        <w:tc>
          <w:tcPr>
            <w:tcW w:type="dxa" w:w="1242"/>
            <w:tcMar>
              <w:top w:w="40" w:type="dxa"/>
              <w:bottom w:w="40" w:type="dxa"/>
              <w:left w:w="60" w:type="dxa"/>
              <w:right w:w="60" w:type="dxa"/>
            </w:tcMar>
          </w:tcPr>
          <w:p>
            <w:r>
              <w:rPr>
                <w:rFonts w:ascii="Arial" w:hAnsi="Arial"/>
                <w:sz w:val="13"/>
              </w:rPr>
              <w:t>Can feel rigid if templates lack lexical variability</w:t>
            </w:r>
          </w:p>
        </w:tc>
        <w:tc>
          <w:tcPr>
            <w:tcW w:type="dxa" w:w="1242"/>
            <w:tcMar>
              <w:top w:w="40" w:type="dxa"/>
              <w:bottom w:w="40" w:type="dxa"/>
              <w:left w:w="60" w:type="dxa"/>
              <w:right w:w="60" w:type="dxa"/>
            </w:tcMar>
          </w:tcPr>
          <w:p>
            <w:r>
              <w:rPr>
                <w:rFonts w:ascii="Arial" w:hAnsi="Arial"/>
                <w:sz w:val="13"/>
              </w:rPr>
              <w:t>Dynamic entity extraction for tailored 5-part pitch rewrite</w:t>
            </w:r>
          </w:p>
        </w:tc>
      </w:tr>
      <w:tr>
        <w:tc>
          <w:tcPr>
            <w:tcW w:type="dxa" w:w="1242"/>
            <w:tcMar>
              <w:top w:w="40" w:type="dxa"/>
              <w:bottom w:w="40" w:type="dxa"/>
              <w:left w:w="60" w:type="dxa"/>
              <w:right w:w="60" w:type="dxa"/>
            </w:tcMar>
          </w:tcPr>
          <w:p>
            <w:r>
              <w:rPr>
                <w:rFonts w:ascii="Arial" w:hAnsi="Arial"/>
                <w:sz w:val="13"/>
              </w:rPr>
              <w:t>[15]</w:t>
            </w:r>
          </w:p>
        </w:tc>
        <w:tc>
          <w:tcPr>
            <w:tcW w:type="dxa" w:w="1242"/>
            <w:tcMar>
              <w:top w:w="40" w:type="dxa"/>
              <w:bottom w:w="40" w:type="dxa"/>
              <w:left w:w="60" w:type="dxa"/>
              <w:right w:w="60" w:type="dxa"/>
            </w:tcMar>
          </w:tcPr>
          <w:p>
            <w:r>
              <w:rPr>
                <w:rFonts w:ascii="Arial" w:hAnsi="Arial"/>
                <w:sz w:val="13"/>
              </w:rPr>
              <w:t>Gatt &amp; Krahmer (2018)</w:t>
            </w:r>
          </w:p>
        </w:tc>
        <w:tc>
          <w:tcPr>
            <w:tcW w:type="dxa" w:w="1242"/>
            <w:tcMar>
              <w:top w:w="40" w:type="dxa"/>
              <w:bottom w:w="40" w:type="dxa"/>
              <w:left w:w="60" w:type="dxa"/>
              <w:right w:w="60" w:type="dxa"/>
            </w:tcMar>
          </w:tcPr>
          <w:p>
            <w:r>
              <w:rPr>
                <w:rFonts w:ascii="Arial" w:hAnsi="Arial"/>
                <w:sz w:val="13"/>
              </w:rPr>
              <w:t>Survey of NLG Systems (JAIR)</w:t>
            </w:r>
          </w:p>
        </w:tc>
        <w:tc>
          <w:tcPr>
            <w:tcW w:type="dxa" w:w="1242"/>
            <w:tcMar>
              <w:top w:w="40" w:type="dxa"/>
              <w:bottom w:w="40" w:type="dxa"/>
              <w:left w:w="60" w:type="dxa"/>
              <w:right w:w="60" w:type="dxa"/>
            </w:tcMar>
          </w:tcPr>
          <w:p>
            <w:r>
              <w:rPr>
                <w:rFonts w:ascii="Arial" w:hAnsi="Arial"/>
                <w:sz w:val="13"/>
              </w:rPr>
              <w:t>NLG Survey</w:t>
            </w:r>
          </w:p>
        </w:tc>
        <w:tc>
          <w:tcPr>
            <w:tcW w:type="dxa" w:w="1242"/>
            <w:tcMar>
              <w:top w:w="40" w:type="dxa"/>
              <w:bottom w:w="40" w:type="dxa"/>
              <w:left w:w="60" w:type="dxa"/>
              <w:right w:w="60" w:type="dxa"/>
            </w:tcMar>
          </w:tcPr>
          <w:p>
            <w:r>
              <w:rPr>
                <w:rFonts w:ascii="Arial" w:hAnsi="Arial"/>
                <w:sz w:val="13"/>
              </w:rPr>
              <w:t>Multi-paradigm review of statistical and neural NLG</w:t>
            </w:r>
          </w:p>
        </w:tc>
        <w:tc>
          <w:tcPr>
            <w:tcW w:type="dxa" w:w="1242"/>
            <w:tcMar>
              <w:top w:w="40" w:type="dxa"/>
              <w:bottom w:w="40" w:type="dxa"/>
              <w:left w:w="60" w:type="dxa"/>
              <w:right w:w="60" w:type="dxa"/>
            </w:tcMar>
          </w:tcPr>
          <w:p>
            <w:r>
              <w:rPr>
                <w:rFonts w:ascii="Arial" w:hAnsi="Arial"/>
                <w:sz w:val="13"/>
              </w:rPr>
              <w:t>Clarifies fluency vs. factual fidelity trade-offs</w:t>
            </w:r>
          </w:p>
        </w:tc>
        <w:tc>
          <w:tcPr>
            <w:tcW w:type="dxa" w:w="1242"/>
            <w:tcMar>
              <w:top w:w="40" w:type="dxa"/>
              <w:bottom w:w="40" w:type="dxa"/>
              <w:left w:w="60" w:type="dxa"/>
              <w:right w:w="60" w:type="dxa"/>
            </w:tcMar>
          </w:tcPr>
          <w:p>
            <w:r>
              <w:rPr>
                <w:rFonts w:ascii="Arial" w:hAnsi="Arial"/>
                <w:sz w:val="13"/>
              </w:rPr>
              <w:t>Highlights severe risk of unconstrained hallucinations</w:t>
            </w:r>
          </w:p>
        </w:tc>
        <w:tc>
          <w:tcPr>
            <w:tcW w:type="dxa" w:w="1242"/>
            <w:tcMar>
              <w:top w:w="40" w:type="dxa"/>
              <w:bottom w:w="40" w:type="dxa"/>
              <w:left w:w="60" w:type="dxa"/>
              <w:right w:w="60" w:type="dxa"/>
            </w:tcMar>
          </w:tcPr>
          <w:p>
            <w:r>
              <w:rPr>
                <w:rFonts w:ascii="Arial" w:hAnsi="Arial"/>
                <w:sz w:val="13"/>
              </w:rPr>
              <w:t>Slot-filling template NLG guaranteeing 0% hallucination</w:t>
            </w:r>
          </w:p>
        </w:tc>
      </w:tr>
      <w:tr>
        <w:tc>
          <w:tcPr>
            <w:tcW w:type="dxa" w:w="1242"/>
            <w:tcMar>
              <w:top w:w="40" w:type="dxa"/>
              <w:bottom w:w="40" w:type="dxa"/>
              <w:left w:w="60" w:type="dxa"/>
              <w:right w:w="60" w:type="dxa"/>
            </w:tcMar>
          </w:tcPr>
          <w:p>
            <w:r>
              <w:rPr>
                <w:rFonts w:ascii="Arial" w:hAnsi="Arial"/>
                <w:sz w:val="13"/>
              </w:rPr>
              <w:t>[16]</w:t>
            </w:r>
          </w:p>
        </w:tc>
        <w:tc>
          <w:tcPr>
            <w:tcW w:type="dxa" w:w="1242"/>
            <w:tcMar>
              <w:top w:w="40" w:type="dxa"/>
              <w:bottom w:w="40" w:type="dxa"/>
              <w:left w:w="60" w:type="dxa"/>
              <w:right w:w="60" w:type="dxa"/>
            </w:tcMar>
          </w:tcPr>
          <w:p>
            <w:r>
              <w:rPr>
                <w:rFonts w:ascii="Arial" w:hAnsi="Arial"/>
                <w:sz w:val="13"/>
              </w:rPr>
              <w:t>Sharma et al. (2023)</w:t>
            </w:r>
          </w:p>
        </w:tc>
        <w:tc>
          <w:tcPr>
            <w:tcW w:type="dxa" w:w="1242"/>
            <w:tcMar>
              <w:top w:w="40" w:type="dxa"/>
              <w:bottom w:w="40" w:type="dxa"/>
              <w:left w:w="60" w:type="dxa"/>
              <w:right w:w="60" w:type="dxa"/>
            </w:tcMar>
          </w:tcPr>
          <w:p>
            <w:r>
              <w:rPr>
                <w:rFonts w:ascii="Arial" w:hAnsi="Arial"/>
                <w:sz w:val="13"/>
              </w:rPr>
              <w:t>Understanding Sycophancy in LLMs (EMNLP)</w:t>
            </w:r>
          </w:p>
        </w:tc>
        <w:tc>
          <w:tcPr>
            <w:tcW w:type="dxa" w:w="1242"/>
            <w:tcMar>
              <w:top w:w="40" w:type="dxa"/>
              <w:bottom w:w="40" w:type="dxa"/>
              <w:left w:w="60" w:type="dxa"/>
              <w:right w:w="60" w:type="dxa"/>
            </w:tcMar>
          </w:tcPr>
          <w:p>
            <w:r>
              <w:rPr>
                <w:rFonts w:ascii="Arial" w:hAnsi="Arial"/>
                <w:sz w:val="13"/>
              </w:rPr>
              <w:t>Model Sycophancy</w:t>
            </w:r>
          </w:p>
        </w:tc>
        <w:tc>
          <w:tcPr>
            <w:tcW w:type="dxa" w:w="1242"/>
            <w:tcMar>
              <w:top w:w="40" w:type="dxa"/>
              <w:bottom w:w="40" w:type="dxa"/>
              <w:left w:w="60" w:type="dxa"/>
              <w:right w:w="60" w:type="dxa"/>
            </w:tcMar>
          </w:tcPr>
          <w:p>
            <w:r>
              <w:rPr>
                <w:rFonts w:ascii="Arial" w:hAnsi="Arial"/>
                <w:sz w:val="13"/>
              </w:rPr>
              <w:t>Behavioral testing of RLHF-aligned models</w:t>
            </w:r>
          </w:p>
        </w:tc>
        <w:tc>
          <w:tcPr>
            <w:tcW w:type="dxa" w:w="1242"/>
            <w:tcMar>
              <w:top w:w="40" w:type="dxa"/>
              <w:bottom w:w="40" w:type="dxa"/>
              <w:left w:w="60" w:type="dxa"/>
              <w:right w:w="60" w:type="dxa"/>
            </w:tcMar>
          </w:tcPr>
          <w:p>
            <w:r>
              <w:rPr>
                <w:rFonts w:ascii="Arial" w:hAnsi="Arial"/>
                <w:sz w:val="13"/>
              </w:rPr>
              <w:t>Discloses that LLMs echo user bias with flattering praise</w:t>
            </w:r>
          </w:p>
        </w:tc>
        <w:tc>
          <w:tcPr>
            <w:tcW w:type="dxa" w:w="1242"/>
            <w:tcMar>
              <w:top w:w="40" w:type="dxa"/>
              <w:bottom w:w="40" w:type="dxa"/>
              <w:left w:w="60" w:type="dxa"/>
              <w:right w:w="60" w:type="dxa"/>
            </w:tcMar>
          </w:tcPr>
          <w:p>
            <w:r>
              <w:rPr>
                <w:rFonts w:ascii="Arial" w:hAnsi="Arial"/>
                <w:sz w:val="13"/>
              </w:rPr>
              <w:t>LLMs cannot be trusted for candid investor critique</w:t>
            </w:r>
          </w:p>
        </w:tc>
        <w:tc>
          <w:tcPr>
            <w:tcW w:type="dxa" w:w="1242"/>
            <w:tcMar>
              <w:top w:w="40" w:type="dxa"/>
              <w:bottom w:w="40" w:type="dxa"/>
              <w:left w:w="60" w:type="dxa"/>
              <w:right w:w="60" w:type="dxa"/>
            </w:tcMar>
          </w:tcPr>
          <w:p>
            <w:r>
              <w:rPr>
                <w:rFonts w:ascii="Arial" w:hAnsi="Arial"/>
                <w:sz w:val="13"/>
              </w:rPr>
              <w:t>Strict, unsycophantic matrix: heavily penalizes zero traction</w:t>
            </w:r>
          </w:p>
        </w:tc>
      </w:tr>
      <w:tr>
        <w:tc>
          <w:tcPr>
            <w:tcW w:type="dxa" w:w="1242"/>
            <w:tcMar>
              <w:top w:w="40" w:type="dxa"/>
              <w:bottom w:w="40" w:type="dxa"/>
              <w:left w:w="60" w:type="dxa"/>
              <w:right w:w="60" w:type="dxa"/>
            </w:tcMar>
          </w:tcPr>
          <w:p>
            <w:r>
              <w:rPr>
                <w:rFonts w:ascii="Arial" w:hAnsi="Arial"/>
                <w:sz w:val="13"/>
              </w:rPr>
              <w:t>[17]</w:t>
            </w:r>
          </w:p>
        </w:tc>
        <w:tc>
          <w:tcPr>
            <w:tcW w:type="dxa" w:w="1242"/>
            <w:tcMar>
              <w:top w:w="40" w:type="dxa"/>
              <w:bottom w:w="40" w:type="dxa"/>
              <w:left w:w="60" w:type="dxa"/>
              <w:right w:w="60" w:type="dxa"/>
            </w:tcMar>
          </w:tcPr>
          <w:p>
            <w:r>
              <w:rPr>
                <w:rFonts w:ascii="Arial" w:hAnsi="Arial"/>
                <w:sz w:val="13"/>
              </w:rPr>
              <w:t>Wei et al. (2023)</w:t>
            </w:r>
          </w:p>
        </w:tc>
        <w:tc>
          <w:tcPr>
            <w:tcW w:type="dxa" w:w="1242"/>
            <w:tcMar>
              <w:top w:w="40" w:type="dxa"/>
              <w:bottom w:w="40" w:type="dxa"/>
              <w:left w:w="60" w:type="dxa"/>
              <w:right w:w="60" w:type="dxa"/>
            </w:tcMar>
          </w:tcPr>
          <w:p>
            <w:r>
              <w:rPr>
                <w:rFonts w:ascii="Arial" w:hAnsi="Arial"/>
                <w:sz w:val="13"/>
              </w:rPr>
              <w:t>Measuring Bias in LLM Reasoning (NeurIPS)</w:t>
            </w:r>
          </w:p>
        </w:tc>
        <w:tc>
          <w:tcPr>
            <w:tcW w:type="dxa" w:w="1242"/>
            <w:tcMar>
              <w:top w:w="40" w:type="dxa"/>
              <w:bottom w:w="40" w:type="dxa"/>
              <w:left w:w="60" w:type="dxa"/>
              <w:right w:w="60" w:type="dxa"/>
            </w:tcMar>
          </w:tcPr>
          <w:p>
            <w:r>
              <w:rPr>
                <w:rFonts w:ascii="Arial" w:hAnsi="Arial"/>
                <w:sz w:val="13"/>
              </w:rPr>
              <w:t>Reasoning Bias</w:t>
            </w:r>
          </w:p>
        </w:tc>
        <w:tc>
          <w:tcPr>
            <w:tcW w:type="dxa" w:w="1242"/>
            <w:tcMar>
              <w:top w:w="40" w:type="dxa"/>
              <w:bottom w:w="40" w:type="dxa"/>
              <w:left w:w="60" w:type="dxa"/>
              <w:right w:w="60" w:type="dxa"/>
            </w:tcMar>
          </w:tcPr>
          <w:p>
            <w:r>
              <w:rPr>
                <w:rFonts w:ascii="Arial" w:hAnsi="Arial"/>
                <w:sz w:val="13"/>
              </w:rPr>
              <w:t>Empirical testing of chain-of-thought consistency</w:t>
            </w:r>
          </w:p>
        </w:tc>
        <w:tc>
          <w:tcPr>
            <w:tcW w:type="dxa" w:w="1242"/>
            <w:tcMar>
              <w:top w:w="40" w:type="dxa"/>
              <w:bottom w:w="40" w:type="dxa"/>
              <w:left w:w="60" w:type="dxa"/>
              <w:right w:w="60" w:type="dxa"/>
            </w:tcMar>
          </w:tcPr>
          <w:p>
            <w:r>
              <w:rPr>
                <w:rFonts w:ascii="Arial" w:hAnsi="Arial"/>
                <w:sz w:val="13"/>
              </w:rPr>
              <w:t>Highlights sensitivity to prompt variations and temperature</w:t>
            </w:r>
          </w:p>
        </w:tc>
        <w:tc>
          <w:tcPr>
            <w:tcW w:type="dxa" w:w="1242"/>
            <w:tcMar>
              <w:top w:w="40" w:type="dxa"/>
              <w:bottom w:w="40" w:type="dxa"/>
              <w:left w:w="60" w:type="dxa"/>
              <w:right w:w="60" w:type="dxa"/>
            </w:tcMar>
          </w:tcPr>
          <w:p>
            <w:r>
              <w:rPr>
                <w:rFonts w:ascii="Arial" w:hAnsi="Arial"/>
                <w:sz w:val="13"/>
              </w:rPr>
              <w:t>Non-deterministic outputs make fair grading impossible</w:t>
            </w:r>
          </w:p>
        </w:tc>
        <w:tc>
          <w:tcPr>
            <w:tcW w:type="dxa" w:w="1242"/>
            <w:tcMar>
              <w:top w:w="40" w:type="dxa"/>
              <w:bottom w:w="40" w:type="dxa"/>
              <w:left w:w="60" w:type="dxa"/>
              <w:right w:w="60" w:type="dxa"/>
            </w:tcMar>
          </w:tcPr>
          <w:p>
            <w:r>
              <w:rPr>
                <w:rFonts w:ascii="Arial" w:hAnsi="Arial"/>
                <w:sz w:val="13"/>
              </w:rPr>
              <w:t>100% deterministic mathematical formula with zero score drift</w:t>
            </w:r>
          </w:p>
        </w:tc>
      </w:tr>
      <w:tr>
        <w:tc>
          <w:tcPr>
            <w:tcW w:type="dxa" w:w="1242"/>
            <w:tcMar>
              <w:top w:w="40" w:type="dxa"/>
              <w:bottom w:w="40" w:type="dxa"/>
              <w:left w:w="60" w:type="dxa"/>
              <w:right w:w="60" w:type="dxa"/>
            </w:tcMar>
          </w:tcPr>
          <w:p>
            <w:r>
              <w:rPr>
                <w:rFonts w:ascii="Arial" w:hAnsi="Arial"/>
                <w:sz w:val="13"/>
              </w:rPr>
              <w:t>[18]</w:t>
            </w:r>
          </w:p>
        </w:tc>
        <w:tc>
          <w:tcPr>
            <w:tcW w:type="dxa" w:w="1242"/>
            <w:tcMar>
              <w:top w:w="40" w:type="dxa"/>
              <w:bottom w:w="40" w:type="dxa"/>
              <w:left w:w="60" w:type="dxa"/>
              <w:right w:w="60" w:type="dxa"/>
            </w:tcMar>
          </w:tcPr>
          <w:p>
            <w:r>
              <w:rPr>
                <w:rFonts w:ascii="Arial" w:hAnsi="Arial"/>
                <w:sz w:val="13"/>
              </w:rPr>
              <w:t>Chen &amp; Patel (2024)</w:t>
            </w:r>
          </w:p>
        </w:tc>
        <w:tc>
          <w:tcPr>
            <w:tcW w:type="dxa" w:w="1242"/>
            <w:tcMar>
              <w:top w:w="40" w:type="dxa"/>
              <w:bottom w:w="40" w:type="dxa"/>
              <w:left w:w="60" w:type="dxa"/>
              <w:right w:w="60" w:type="dxa"/>
            </w:tcMar>
          </w:tcPr>
          <w:p>
            <w:r>
              <w:rPr>
                <w:rFonts w:ascii="Arial" w:hAnsi="Arial"/>
                <w:sz w:val="13"/>
              </w:rPr>
              <w:t>Benchmarking LLMs as Oral Evaluators (ACM TOCE)</w:t>
            </w:r>
          </w:p>
        </w:tc>
        <w:tc>
          <w:tcPr>
            <w:tcW w:type="dxa" w:w="1242"/>
            <w:tcMar>
              <w:top w:w="40" w:type="dxa"/>
              <w:bottom w:w="40" w:type="dxa"/>
              <w:left w:w="60" w:type="dxa"/>
              <w:right w:w="60" w:type="dxa"/>
            </w:tcMar>
          </w:tcPr>
          <w:p>
            <w:r>
              <w:rPr>
                <w:rFonts w:ascii="Arial" w:hAnsi="Arial"/>
                <w:sz w:val="13"/>
              </w:rPr>
              <w:t>Educational LLMs</w:t>
            </w:r>
          </w:p>
        </w:tc>
        <w:tc>
          <w:tcPr>
            <w:tcW w:type="dxa" w:w="1242"/>
            <w:tcMar>
              <w:top w:w="40" w:type="dxa"/>
              <w:bottom w:w="40" w:type="dxa"/>
              <w:left w:w="60" w:type="dxa"/>
              <w:right w:w="60" w:type="dxa"/>
            </w:tcMar>
          </w:tcPr>
          <w:p>
            <w:r>
              <w:rPr>
                <w:rFonts w:ascii="Arial" w:hAnsi="Arial"/>
                <w:sz w:val="13"/>
              </w:rPr>
              <w:t>Few-shot prompting across GPT-4, Claude, Gemini</w:t>
            </w:r>
          </w:p>
        </w:tc>
        <w:tc>
          <w:tcPr>
            <w:tcW w:type="dxa" w:w="1242"/>
            <w:tcMar>
              <w:top w:w="40" w:type="dxa"/>
              <w:bottom w:w="40" w:type="dxa"/>
              <w:left w:w="60" w:type="dxa"/>
              <w:right w:w="60" w:type="dxa"/>
            </w:tcMar>
          </w:tcPr>
          <w:p>
            <w:r>
              <w:rPr>
                <w:rFonts w:ascii="Arial" w:hAnsi="Arial"/>
                <w:sz w:val="13"/>
              </w:rPr>
              <w:t>High semantic richness in conversational explanations</w:t>
            </w:r>
          </w:p>
        </w:tc>
        <w:tc>
          <w:tcPr>
            <w:tcW w:type="dxa" w:w="1242"/>
            <w:tcMar>
              <w:top w:w="40" w:type="dxa"/>
              <w:bottom w:w="40" w:type="dxa"/>
              <w:left w:w="60" w:type="dxa"/>
              <w:right w:w="60" w:type="dxa"/>
            </w:tcMar>
          </w:tcPr>
          <w:p>
            <w:r>
              <w:rPr>
                <w:rFonts w:ascii="Arial" w:hAnsi="Arial"/>
                <w:sz w:val="13"/>
              </w:rPr>
              <w:t>Cloud API latency (3-8s); token costs; +-18 pt drift</w:t>
            </w:r>
          </w:p>
        </w:tc>
        <w:tc>
          <w:tcPr>
            <w:tcW w:type="dxa" w:w="1242"/>
            <w:tcMar>
              <w:top w:w="40" w:type="dxa"/>
              <w:bottom w:w="40" w:type="dxa"/>
              <w:left w:w="60" w:type="dxa"/>
              <w:right w:w="60" w:type="dxa"/>
            </w:tcMar>
          </w:tcPr>
          <w:p>
            <w:r>
              <w:rPr>
                <w:rFonts w:ascii="Arial" w:hAnsi="Arial"/>
                <w:sz w:val="13"/>
              </w:rPr>
              <w:t>100% client-side in browser; sub-millisecond; zero API cost</w:t>
            </w:r>
          </w:p>
        </w:tc>
      </w:tr>
      <w:tr>
        <w:tc>
          <w:tcPr>
            <w:tcW w:type="dxa" w:w="1242"/>
            <w:tcMar>
              <w:top w:w="40" w:type="dxa"/>
              <w:bottom w:w="40" w:type="dxa"/>
              <w:left w:w="60" w:type="dxa"/>
              <w:right w:w="60" w:type="dxa"/>
            </w:tcMar>
          </w:tcPr>
          <w:p>
            <w:r>
              <w:rPr>
                <w:rFonts w:ascii="Arial" w:hAnsi="Arial"/>
                <w:sz w:val="13"/>
              </w:rPr>
              <w:t>[19]</w:t>
            </w:r>
          </w:p>
        </w:tc>
        <w:tc>
          <w:tcPr>
            <w:tcW w:type="dxa" w:w="1242"/>
            <w:tcMar>
              <w:top w:w="40" w:type="dxa"/>
              <w:bottom w:w="40" w:type="dxa"/>
              <w:left w:w="60" w:type="dxa"/>
              <w:right w:w="60" w:type="dxa"/>
            </w:tcMar>
          </w:tcPr>
          <w:p>
            <w:r>
              <w:rPr>
                <w:rFonts w:ascii="Arial" w:hAnsi="Arial"/>
                <w:sz w:val="13"/>
              </w:rPr>
              <w:t>Zheng et al. (2023)</w:t>
            </w:r>
          </w:p>
        </w:tc>
        <w:tc>
          <w:tcPr>
            <w:tcW w:type="dxa" w:w="1242"/>
            <w:tcMar>
              <w:top w:w="40" w:type="dxa"/>
              <w:bottom w:w="40" w:type="dxa"/>
              <w:left w:w="60" w:type="dxa"/>
              <w:right w:w="60" w:type="dxa"/>
            </w:tcMar>
          </w:tcPr>
          <w:p>
            <w:r>
              <w:rPr>
                <w:rFonts w:ascii="Arial" w:hAnsi="Arial"/>
                <w:sz w:val="13"/>
              </w:rPr>
              <w:t>Judging LLM-as-a-Judge with MT-Bench (NeurIPS)</w:t>
            </w:r>
          </w:p>
        </w:tc>
        <w:tc>
          <w:tcPr>
            <w:tcW w:type="dxa" w:w="1242"/>
            <w:tcMar>
              <w:top w:w="40" w:type="dxa"/>
              <w:bottom w:w="40" w:type="dxa"/>
              <w:left w:w="60" w:type="dxa"/>
              <w:right w:w="60" w:type="dxa"/>
            </w:tcMar>
          </w:tcPr>
          <w:p>
            <w:r>
              <w:rPr>
                <w:rFonts w:ascii="Arial" w:hAnsi="Arial"/>
                <w:sz w:val="13"/>
              </w:rPr>
              <w:t>Evaluator Benchmarks</w:t>
            </w:r>
          </w:p>
        </w:tc>
        <w:tc>
          <w:tcPr>
            <w:tcW w:type="dxa" w:w="1242"/>
            <w:tcMar>
              <w:top w:w="40" w:type="dxa"/>
              <w:bottom w:w="40" w:type="dxa"/>
              <w:left w:w="60" w:type="dxa"/>
              <w:right w:w="60" w:type="dxa"/>
            </w:tcMar>
          </w:tcPr>
          <w:p>
            <w:r>
              <w:rPr>
                <w:rFonts w:ascii="Arial" w:hAnsi="Arial"/>
                <w:sz w:val="13"/>
              </w:rPr>
              <w:t>Benchmarking LLM judges against human expert panels</w:t>
            </w:r>
          </w:p>
        </w:tc>
        <w:tc>
          <w:tcPr>
            <w:tcW w:type="dxa" w:w="1242"/>
            <w:tcMar>
              <w:top w:w="40" w:type="dxa"/>
              <w:bottom w:w="40" w:type="dxa"/>
              <w:left w:w="60" w:type="dxa"/>
              <w:right w:w="60" w:type="dxa"/>
            </w:tcMar>
          </w:tcPr>
          <w:p>
            <w:r>
              <w:rPr>
                <w:rFonts w:ascii="Arial" w:hAnsi="Arial"/>
                <w:sz w:val="13"/>
              </w:rPr>
              <w:t>Measures positional, verbosity, and self-enhancement bias</w:t>
            </w:r>
          </w:p>
        </w:tc>
        <w:tc>
          <w:tcPr>
            <w:tcW w:type="dxa" w:w="1242"/>
            <w:tcMar>
              <w:top w:w="40" w:type="dxa"/>
              <w:bottom w:w="40" w:type="dxa"/>
              <w:left w:w="60" w:type="dxa"/>
              <w:right w:w="60" w:type="dxa"/>
            </w:tcMar>
          </w:tcPr>
          <w:p>
            <w:r>
              <w:rPr>
                <w:rFonts w:ascii="Arial" w:hAnsi="Arial"/>
                <w:sz w:val="13"/>
              </w:rPr>
              <w:t>LLM judges systematically favor long-winded answers</w:t>
            </w:r>
          </w:p>
        </w:tc>
        <w:tc>
          <w:tcPr>
            <w:tcW w:type="dxa" w:w="1242"/>
            <w:tcMar>
              <w:top w:w="40" w:type="dxa"/>
              <w:bottom w:w="40" w:type="dxa"/>
              <w:left w:w="60" w:type="dxa"/>
              <w:right w:w="60" w:type="dxa"/>
            </w:tcMar>
          </w:tcPr>
          <w:p>
            <w:r>
              <w:rPr>
                <w:rFonts w:ascii="Arial" w:hAnsi="Arial"/>
                <w:sz w:val="13"/>
              </w:rPr>
              <w:t>Penalizes verbosity; enforces concise, high-signal hooks</w:t>
            </w:r>
          </w:p>
        </w:tc>
      </w:tr>
      <w:tr>
        <w:tc>
          <w:tcPr>
            <w:tcW w:type="dxa" w:w="1242"/>
            <w:tcMar>
              <w:top w:w="40" w:type="dxa"/>
              <w:bottom w:w="40" w:type="dxa"/>
              <w:left w:w="60" w:type="dxa"/>
              <w:right w:w="60" w:type="dxa"/>
            </w:tcMar>
          </w:tcPr>
          <w:p>
            <w:r>
              <w:rPr>
                <w:rFonts w:ascii="Arial" w:hAnsi="Arial"/>
                <w:sz w:val="13"/>
              </w:rPr>
              <w:t>[20]</w:t>
            </w:r>
          </w:p>
        </w:tc>
        <w:tc>
          <w:tcPr>
            <w:tcW w:type="dxa" w:w="1242"/>
            <w:tcMar>
              <w:top w:w="40" w:type="dxa"/>
              <w:bottom w:w="40" w:type="dxa"/>
              <w:left w:w="60" w:type="dxa"/>
              <w:right w:w="60" w:type="dxa"/>
            </w:tcMar>
          </w:tcPr>
          <w:p>
            <w:r>
              <w:rPr>
                <w:rFonts w:ascii="Arial" w:hAnsi="Arial"/>
                <w:sz w:val="13"/>
              </w:rPr>
              <w:t>Manning &amp; Schütze (1999)</w:t>
            </w:r>
          </w:p>
        </w:tc>
        <w:tc>
          <w:tcPr>
            <w:tcW w:type="dxa" w:w="1242"/>
            <w:tcMar>
              <w:top w:w="40" w:type="dxa"/>
              <w:bottom w:w="40" w:type="dxa"/>
              <w:left w:w="60" w:type="dxa"/>
              <w:right w:w="60" w:type="dxa"/>
            </w:tcMar>
          </w:tcPr>
          <w:p>
            <w:r>
              <w:rPr>
                <w:rFonts w:ascii="Arial" w:hAnsi="Arial"/>
                <w:sz w:val="13"/>
              </w:rPr>
              <w:t>Foundations of Statistical NLP (MIT Press)</w:t>
            </w:r>
          </w:p>
        </w:tc>
        <w:tc>
          <w:tcPr>
            <w:tcW w:type="dxa" w:w="1242"/>
            <w:tcMar>
              <w:top w:w="40" w:type="dxa"/>
              <w:bottom w:w="40" w:type="dxa"/>
              <w:left w:w="60" w:type="dxa"/>
              <w:right w:w="60" w:type="dxa"/>
            </w:tcMar>
          </w:tcPr>
          <w:p>
            <w:r>
              <w:rPr>
                <w:rFonts w:ascii="Arial" w:hAnsi="Arial"/>
                <w:sz w:val="13"/>
              </w:rPr>
              <w:t>Finite Automata</w:t>
            </w:r>
          </w:p>
        </w:tc>
        <w:tc>
          <w:tcPr>
            <w:tcW w:type="dxa" w:w="1242"/>
            <w:tcMar>
              <w:top w:w="40" w:type="dxa"/>
              <w:bottom w:w="40" w:type="dxa"/>
              <w:left w:w="60" w:type="dxa"/>
              <w:right w:w="60" w:type="dxa"/>
            </w:tcMar>
          </w:tcPr>
          <w:p>
            <w:r>
              <w:rPr>
                <w:rFonts w:ascii="Arial" w:hAnsi="Arial"/>
                <w:sz w:val="13"/>
              </w:rPr>
              <w:t>Deterministic Finite-State Transducers &amp; Regex</w:t>
            </w:r>
          </w:p>
        </w:tc>
        <w:tc>
          <w:tcPr>
            <w:tcW w:type="dxa" w:w="1242"/>
            <w:tcMar>
              <w:top w:w="40" w:type="dxa"/>
              <w:bottom w:w="40" w:type="dxa"/>
              <w:left w:w="60" w:type="dxa"/>
              <w:right w:w="60" w:type="dxa"/>
            </w:tcMar>
          </w:tcPr>
          <w:p>
            <w:r>
              <w:rPr>
                <w:rFonts w:ascii="Arial" w:hAnsi="Arial"/>
                <w:sz w:val="13"/>
              </w:rPr>
              <w:t>Unmatched execution speed; zero memory overhead; explainable</w:t>
            </w:r>
          </w:p>
        </w:tc>
        <w:tc>
          <w:tcPr>
            <w:tcW w:type="dxa" w:w="1242"/>
            <w:tcMar>
              <w:top w:w="40" w:type="dxa"/>
              <w:bottom w:w="40" w:type="dxa"/>
              <w:left w:w="60" w:type="dxa"/>
              <w:right w:w="60" w:type="dxa"/>
            </w:tcMar>
          </w:tcPr>
          <w:p>
            <w:r>
              <w:rPr>
                <w:rFonts w:ascii="Arial" w:hAnsi="Arial"/>
                <w:sz w:val="13"/>
              </w:rPr>
              <w:t>Requires expert curation of domain lexicons</w:t>
            </w:r>
          </w:p>
        </w:tc>
        <w:tc>
          <w:tcPr>
            <w:tcW w:type="dxa" w:w="1242"/>
            <w:tcMar>
              <w:top w:w="40" w:type="dxa"/>
              <w:bottom w:w="40" w:type="dxa"/>
              <w:left w:w="60" w:type="dxa"/>
              <w:right w:w="60" w:type="dxa"/>
            </w:tcMar>
          </w:tcPr>
          <w:p>
            <w:r>
              <w:rPr>
                <w:rFonts w:ascii="Arial" w:hAnsi="Arial"/>
                <w:sz w:val="13"/>
              </w:rPr>
              <w:t>Curated venture lexicon: 250+ financial and rhetorical markers</w:t>
            </w:r>
          </w:p>
        </w:tc>
      </w:tr>
    </w:tbl>
    <w:p>
      <w:r>
        <w:br w:type="page"/>
      </w:r>
    </w:p>
    <w:p>
      <w:pPr>
        <w:spacing w:before="280" w:after="80"/>
      </w:pPr>
      <w:r>
        <w:rPr>
          <w:rFonts w:ascii="Georgia" w:hAnsi="Georgia"/>
          <w:b/>
          <w:color w:val="801818"/>
          <w:sz w:val="24"/>
        </w:rPr>
        <w:t>4. Key Research Gaps Identified</w:t>
      </w:r>
    </w:p>
    <w:p>
      <w:pPr>
        <w:spacing w:before="120" w:after="80"/>
      </w:pPr>
      <w:r>
        <w:rPr>
          <w:b/>
          <w:color w:val="801818"/>
          <w:sz w:val="19"/>
        </w:rPr>
        <w:t xml:space="preserve">• Gap 1: Delivery Tools Ignore Content (The Prosody-Semantics Gap): </w:t>
      </w:r>
      <w:r>
        <w:rPr>
          <w:rFonts w:ascii="Times New Roman" w:hAnsi="Times New Roman"/>
          <w:sz w:val="19"/>
        </w:rPr>
        <w:t>Existing speech coaching apps like Yoodli or Speeko only analyze pacing, filler words, and vocal modulation. They cannot tell whether a pitch actually makes business sense or if the founder asked for an investment.</w:t>
      </w:r>
    </w:p>
    <w:p>
      <w:pPr>
        <w:spacing w:before="120" w:after="80"/>
      </w:pPr>
      <w:r>
        <w:rPr>
          <w:b/>
          <w:color w:val="801818"/>
          <w:sz w:val="19"/>
        </w:rPr>
        <w:t xml:space="preserve">• Gap 2: Generative LLMs Are Inconsistent and Overly Flattering: </w:t>
      </w:r>
      <w:r>
        <w:rPr>
          <w:rFonts w:ascii="Times New Roman" w:hAnsi="Times New Roman"/>
          <w:sz w:val="19"/>
        </w:rPr>
        <w:t>General-purpose AI chatbots suffer from sycophancy (flattering the user instead of providing candid critique) and stochastic temperature drift (+-18 points on identical scripts), making them unreliable for objective evaluation.</w:t>
      </w:r>
    </w:p>
    <w:p>
      <w:pPr>
        <w:spacing w:before="120" w:after="80"/>
      </w:pPr>
      <w:r>
        <w:rPr>
          <w:b/>
          <w:color w:val="801818"/>
          <w:sz w:val="19"/>
        </w:rPr>
        <w:t xml:space="preserve">• Gap 3: Lack of Real-World Precedent Grounding: </w:t>
      </w:r>
      <w:r>
        <w:rPr>
          <w:rFonts w:ascii="Times New Roman" w:hAnsi="Times New Roman"/>
          <w:sz w:val="19"/>
        </w:rPr>
        <w:t>Most writing analysis tools evaluate text in a vacuum without referencing real-world commercial outcomes. In venture capital, pitches succeed based on how they compare to historical precedent deals.</w:t>
      </w:r>
    </w:p>
    <w:p>
      <w:pPr>
        <w:spacing w:before="120" w:after="80"/>
      </w:pPr>
      <w:r>
        <w:rPr>
          <w:b/>
          <w:color w:val="801818"/>
          <w:sz w:val="19"/>
        </w:rPr>
        <w:t xml:space="preserve">• Gap 4: Cloud Latency, API Costs, and IP Privacy Concerns: </w:t>
      </w:r>
      <w:r>
        <w:rPr>
          <w:rFonts w:ascii="Times New Roman" w:hAnsi="Times New Roman"/>
          <w:sz w:val="19"/>
        </w:rPr>
        <w:t>Modern neural NLP pipelines require cloud GPUs and remote APIs, introducing 3-8s latency and forcing users to upload confidential startup concepts to external servers.</w:t>
      </w:r>
    </w:p>
    <w:p>
      <w:pPr>
        <w:spacing w:before="120" w:after="80"/>
      </w:pPr>
      <w:r>
        <w:rPr>
          <w:b/>
          <w:color w:val="801818"/>
          <w:sz w:val="19"/>
        </w:rPr>
        <w:t xml:space="preserve">• Gap 5: Abstract Scores Without Actionable Rewrites: </w:t>
      </w:r>
      <w:r>
        <w:rPr>
          <w:rFonts w:ascii="Times New Roman" w:hAnsi="Times New Roman"/>
          <w:sz w:val="19"/>
        </w:rPr>
        <w:t>Telling a user that their pitch scored 62/100 does not help them fix it. People only improve when shown concrete, formative rewrites that directly demonstrate how to fix the identified flaws.</w:t>
      </w:r>
    </w:p>
    <w:p>
      <w:pPr>
        <w:spacing w:before="280" w:after="80"/>
      </w:pPr>
      <w:r>
        <w:rPr>
          <w:rFonts w:ascii="Georgia" w:hAnsi="Georgia"/>
          <w:b/>
          <w:color w:val="801818"/>
          <w:sz w:val="24"/>
        </w:rPr>
        <w:t>5. How PitchIQ Addresses These Gaps</w:t>
      </w:r>
    </w:p>
    <w:p>
      <w:pPr>
        <w:spacing w:after="120"/>
        <w:ind w:firstLine="360"/>
        <w:jc w:val="both"/>
      </w:pPr>
      <w:r>
        <w:rPr>
          <w:rFonts w:ascii="Times New Roman" w:hAnsi="Times New Roman"/>
          <w:color w:val="1E293B"/>
          <w:sz w:val="20"/>
        </w:rPr>
        <w:t>We used the insights from our literature survey to design and engineer PitchIQ:</w:t>
      </w:r>
    </w:p>
    <w:p>
      <w:pPr>
        <w:spacing w:after="120"/>
        <w:ind w:firstLine="360"/>
        <w:jc w:val="both"/>
      </w:pPr>
      <w:r>
        <w:rPr>
          <w:rFonts w:ascii="Times New Roman" w:hAnsi="Times New Roman"/>
          <w:color w:val="1E293B"/>
          <w:sz w:val="20"/>
        </w:rPr>
        <w:t>1. Deterministic 6-Axis Evaluation Rubric: Evaluates Clarity, Hook Quality (&lt;=12 words), Structure (Problem -&gt; Solution -&gt; Traction -&gt; CTA), Persuasiveness (metrics &amp; moats), Call-to-Action, and Confidence. Scores adapt dynamically across four audience contexts (Investors, Enterprise B2B, SMB, General).</w:t>
      </w:r>
    </w:p>
    <w:p>
      <w:pPr>
        <w:spacing w:after="120"/>
        <w:ind w:firstLine="360"/>
        <w:jc w:val="both"/>
      </w:pPr>
      <w:r>
        <w:rPr>
          <w:rFonts w:ascii="Times New Roman" w:hAnsi="Times New Roman"/>
          <w:color w:val="1E293B"/>
          <w:sz w:val="20"/>
        </w:rPr>
        <w:t>2. Case-Based Deal Precedent Matching (Client-Side RAG): Indexes a database of real-world Shark Tank venture deals to retrieve a Funded Benchmark Deal and a Cautionary Rejected Deal in under 10ms.</w:t>
      </w:r>
    </w:p>
    <w:p>
      <w:pPr>
        <w:spacing w:after="120"/>
        <w:ind w:firstLine="360"/>
        <w:jc w:val="both"/>
      </w:pPr>
      <w:r>
        <w:rPr>
          <w:rFonts w:ascii="Times New Roman" w:hAnsi="Times New Roman"/>
          <w:color w:val="1E293B"/>
          <w:sz w:val="20"/>
        </w:rPr>
        <w:t>3. Hallucination-Free Slot-Filling Rewrite Engine: Extracts domain entities (Speaker, Company, Problem, Solution, Metrics) and constructs a structured, punchy 5-step elevator pitch with zero hallucinations.</w:t>
      </w:r>
    </w:p>
    <w:p>
      <w:pPr>
        <w:spacing w:after="120"/>
        <w:ind w:firstLine="360"/>
        <w:jc w:val="both"/>
      </w:pPr>
      <w:r>
        <w:rPr>
          <w:rFonts w:ascii="Times New Roman" w:hAnsi="Times New Roman"/>
          <w:color w:val="1E293B"/>
          <w:sz w:val="20"/>
        </w:rPr>
        <w:t>4. 100% Client-Side Execution &amp; Privacy: The entire parsing, scoring, and rewrite pipeline executes in JavaScript directly inside the browser. Multi-attempt pitch history is stored locally using IndexedDB, guaranteeing instant response times and total privacy.</w:t>
      </w:r>
    </w:p>
    <w:p>
      <w:pPr>
        <w:spacing w:before="280" w:after="80"/>
      </w:pPr>
      <w:r>
        <w:rPr>
          <w:rFonts w:ascii="Georgia" w:hAnsi="Georgia"/>
          <w:b/>
          <w:color w:val="801818"/>
          <w:sz w:val="24"/>
        </w:rPr>
        <w:t>6. How PitchIQ Compares with Existing Solutions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801818"/>
          </w:tcPr>
          <w:p>
            <w:r>
              <w:rPr>
                <w:b/>
                <w:color w:val="FFFFFF"/>
                <w:sz w:val="15"/>
              </w:rPr>
              <w:t>Dimension</w:t>
            </w:r>
          </w:p>
        </w:tc>
        <w:tc>
          <w:tcPr>
            <w:tcW w:type="dxa" w:w="1987"/>
            <w:shd w:fill="801818"/>
          </w:tcPr>
          <w:p>
            <w:r>
              <w:rPr>
                <w:b/>
                <w:color w:val="FFFFFF"/>
                <w:sz w:val="15"/>
              </w:rPr>
              <w:t>Human Coach</w:t>
            </w:r>
          </w:p>
        </w:tc>
        <w:tc>
          <w:tcPr>
            <w:tcW w:type="dxa" w:w="1987"/>
            <w:shd w:fill="801818"/>
          </w:tcPr>
          <w:p>
            <w:r>
              <w:rPr>
                <w:b/>
                <w:color w:val="FFFFFF"/>
                <w:sz w:val="15"/>
              </w:rPr>
              <w:t>Prosody Tools (Yoodli)</w:t>
            </w:r>
          </w:p>
        </w:tc>
        <w:tc>
          <w:tcPr>
            <w:tcW w:type="dxa" w:w="1987"/>
            <w:shd w:fill="801818"/>
          </w:tcPr>
          <w:p>
            <w:r>
              <w:rPr>
                <w:b/>
                <w:color w:val="FFFFFF"/>
                <w:sz w:val="15"/>
              </w:rPr>
              <w:t>Cloud LLMs (GPT-4)</w:t>
            </w:r>
          </w:p>
        </w:tc>
        <w:tc>
          <w:tcPr>
            <w:tcW w:type="dxa" w:w="1987"/>
            <w:shd w:fill="801818"/>
          </w:tcPr>
          <w:p>
            <w:r>
              <w:rPr>
                <w:b/>
                <w:color w:val="FFFFFF"/>
                <w:sz w:val="15"/>
              </w:rPr>
              <w:t>PitchIQ Platform (Our Project)</w:t>
            </w:r>
          </w:p>
        </w:tc>
      </w:tr>
      <w:tr>
        <w:tc>
          <w:tcPr>
            <w:tcW w:type="dxa" w:w="1987"/>
          </w:tcPr>
          <w:p>
            <w:r>
              <w:rPr>
                <w:sz w:val="14"/>
              </w:rPr>
              <w:t>Cost</w:t>
            </w:r>
          </w:p>
        </w:tc>
        <w:tc>
          <w:tcPr>
            <w:tcW w:type="dxa" w:w="1987"/>
          </w:tcPr>
          <w:p>
            <w:r>
              <w:rPr>
                <w:sz w:val="14"/>
              </w:rPr>
              <w:t>$250–$500/hr</w:t>
            </w:r>
          </w:p>
        </w:tc>
        <w:tc>
          <w:tcPr>
            <w:tcW w:type="dxa" w:w="1987"/>
          </w:tcPr>
          <w:p>
            <w:r>
              <w:rPr>
                <w:sz w:val="14"/>
              </w:rPr>
              <w:t>$15–$30/mo</w:t>
            </w:r>
          </w:p>
        </w:tc>
        <w:tc>
          <w:tcPr>
            <w:tcW w:type="dxa" w:w="1987"/>
          </w:tcPr>
          <w:p>
            <w:r>
              <w:rPr>
                <w:sz w:val="14"/>
              </w:rPr>
              <w:t>API token costs</w:t>
            </w:r>
          </w:p>
        </w:tc>
        <w:tc>
          <w:tcPr>
            <w:tcW w:type="dxa" w:w="1987"/>
          </w:tcPr>
          <w:p>
            <w:r>
              <w:rPr>
                <w:b/>
                <w:color w:val="801818"/>
                <w:sz w:val="14"/>
              </w:rPr>
              <w:t>100% Free &amp; Open-Access</w:t>
            </w:r>
          </w:p>
        </w:tc>
      </w:tr>
      <w:tr>
        <w:tc>
          <w:tcPr>
            <w:tcW w:type="dxa" w:w="1987"/>
          </w:tcPr>
          <w:p>
            <w:r>
              <w:rPr>
                <w:sz w:val="14"/>
              </w:rPr>
              <w:t>Response Time</w:t>
            </w:r>
          </w:p>
        </w:tc>
        <w:tc>
          <w:tcPr>
            <w:tcW w:type="dxa" w:w="1987"/>
          </w:tcPr>
          <w:p>
            <w:r>
              <w:rPr>
                <w:sz w:val="14"/>
              </w:rPr>
              <w:t>Days</w:t>
            </w:r>
          </w:p>
        </w:tc>
        <w:tc>
          <w:tcPr>
            <w:tcW w:type="dxa" w:w="1987"/>
          </w:tcPr>
          <w:p>
            <w:r>
              <w:rPr>
                <w:sz w:val="14"/>
              </w:rPr>
              <w:t>Real-time audio</w:t>
            </w:r>
          </w:p>
        </w:tc>
        <w:tc>
          <w:tcPr>
            <w:tcW w:type="dxa" w:w="1987"/>
          </w:tcPr>
          <w:p>
            <w:r>
              <w:rPr>
                <w:sz w:val="14"/>
              </w:rPr>
              <w:t>3–8 seconds</w:t>
            </w:r>
          </w:p>
        </w:tc>
        <w:tc>
          <w:tcPr>
            <w:tcW w:type="dxa" w:w="1987"/>
          </w:tcPr>
          <w:p>
            <w:r>
              <w:rPr>
                <w:b/>
                <w:color w:val="801818"/>
                <w:sz w:val="14"/>
              </w:rPr>
              <w:t>Instantaneous (&lt;1.6s)</w:t>
            </w:r>
          </w:p>
        </w:tc>
      </w:tr>
      <w:tr>
        <w:tc>
          <w:tcPr>
            <w:tcW w:type="dxa" w:w="1987"/>
          </w:tcPr>
          <w:p>
            <w:r>
              <w:rPr>
                <w:sz w:val="14"/>
              </w:rPr>
              <w:t>Content &amp; Unit Economics</w:t>
            </w:r>
          </w:p>
        </w:tc>
        <w:tc>
          <w:tcPr>
            <w:tcW w:type="dxa" w:w="1987"/>
          </w:tcPr>
          <w:p>
            <w:r>
              <w:rPr>
                <w:sz w:val="14"/>
              </w:rPr>
              <w:t>High</w:t>
            </w:r>
          </w:p>
        </w:tc>
        <w:tc>
          <w:tcPr>
            <w:tcW w:type="dxa" w:w="1987"/>
          </w:tcPr>
          <w:p>
            <w:r>
              <w:rPr>
                <w:sz w:val="14"/>
              </w:rPr>
              <w:t>Zero (Content-blind)</w:t>
            </w:r>
          </w:p>
        </w:tc>
        <w:tc>
          <w:tcPr>
            <w:tcW w:type="dxa" w:w="1987"/>
          </w:tcPr>
          <w:p>
            <w:r>
              <w:rPr>
                <w:sz w:val="14"/>
              </w:rPr>
              <w:t>Moderate (unstructured)</w:t>
            </w:r>
          </w:p>
        </w:tc>
        <w:tc>
          <w:tcPr>
            <w:tcW w:type="dxa" w:w="1987"/>
          </w:tcPr>
          <w:p>
            <w:r>
              <w:rPr>
                <w:b/>
                <w:color w:val="801818"/>
                <w:sz w:val="14"/>
              </w:rPr>
              <w:t>High (Deterministic 6-axis)</w:t>
            </w:r>
          </w:p>
        </w:tc>
      </w:tr>
      <w:tr>
        <w:tc>
          <w:tcPr>
            <w:tcW w:type="dxa" w:w="1987"/>
          </w:tcPr>
          <w:p>
            <w:r>
              <w:rPr>
                <w:sz w:val="14"/>
              </w:rPr>
              <w:t>Scoring Consistency</w:t>
            </w:r>
          </w:p>
        </w:tc>
        <w:tc>
          <w:tcPr>
            <w:tcW w:type="dxa" w:w="1987"/>
          </w:tcPr>
          <w:p>
            <w:r>
              <w:rPr>
                <w:sz w:val="14"/>
              </w:rPr>
              <w:t>Subjective</w:t>
            </w:r>
          </w:p>
        </w:tc>
        <w:tc>
          <w:tcPr>
            <w:tcW w:type="dxa" w:w="1987"/>
          </w:tcPr>
          <w:p>
            <w:r>
              <w:rPr>
                <w:sz w:val="14"/>
              </w:rPr>
              <w:t>Consistent (Audio)</w:t>
            </w:r>
          </w:p>
        </w:tc>
        <w:tc>
          <w:tcPr>
            <w:tcW w:type="dxa" w:w="1987"/>
          </w:tcPr>
          <w:p>
            <w:r>
              <w:rPr>
                <w:sz w:val="14"/>
              </w:rPr>
              <w:t>Inconsistent (+-18 pts)</w:t>
            </w:r>
          </w:p>
        </w:tc>
        <w:tc>
          <w:tcPr>
            <w:tcW w:type="dxa" w:w="1987"/>
          </w:tcPr>
          <w:p>
            <w:r>
              <w:rPr>
                <w:b/>
                <w:color w:val="801818"/>
                <w:sz w:val="14"/>
              </w:rPr>
              <w:t>100% Deterministic &amp; Reproducible</w:t>
            </w:r>
          </w:p>
        </w:tc>
      </w:tr>
      <w:tr>
        <w:tc>
          <w:tcPr>
            <w:tcW w:type="dxa" w:w="1987"/>
          </w:tcPr>
          <w:p>
            <w:r>
              <w:rPr>
                <w:sz w:val="14"/>
              </w:rPr>
              <w:t>Sycophancy Resistance</w:t>
            </w:r>
          </w:p>
        </w:tc>
        <w:tc>
          <w:tcPr>
            <w:tcW w:type="dxa" w:w="1987"/>
          </w:tcPr>
          <w:p>
            <w:r>
              <w:rPr>
                <w:sz w:val="14"/>
              </w:rPr>
              <w:t>Variable</w:t>
            </w:r>
          </w:p>
        </w:tc>
        <w:tc>
          <w:tcPr>
            <w:tcW w:type="dxa" w:w="1987"/>
          </w:tcPr>
          <w:p>
            <w:r>
              <w:rPr>
                <w:sz w:val="14"/>
              </w:rPr>
              <w:t>N/A</w:t>
            </w:r>
          </w:p>
        </w:tc>
        <w:tc>
          <w:tcPr>
            <w:tcW w:type="dxa" w:w="1987"/>
          </w:tcPr>
          <w:p>
            <w:r>
              <w:rPr>
                <w:sz w:val="14"/>
              </w:rPr>
              <w:t>Low (Flattering)</w:t>
            </w:r>
          </w:p>
        </w:tc>
        <w:tc>
          <w:tcPr>
            <w:tcW w:type="dxa" w:w="1987"/>
          </w:tcPr>
          <w:p>
            <w:r>
              <w:rPr>
                <w:b/>
                <w:color w:val="801818"/>
                <w:sz w:val="14"/>
              </w:rPr>
              <w:t>High (Strict venture criteria)</w:t>
            </w:r>
          </w:p>
        </w:tc>
      </w:tr>
      <w:tr>
        <w:tc>
          <w:tcPr>
            <w:tcW w:type="dxa" w:w="1987"/>
          </w:tcPr>
          <w:p>
            <w:r>
              <w:rPr>
                <w:sz w:val="14"/>
              </w:rPr>
              <w:t>Real Deal Precedents (CBR)</w:t>
            </w:r>
          </w:p>
        </w:tc>
        <w:tc>
          <w:tcPr>
            <w:tcW w:type="dxa" w:w="1987"/>
          </w:tcPr>
          <w:p>
            <w:r>
              <w:rPr>
                <w:sz w:val="14"/>
              </w:rPr>
              <w:t>Memory-dependent</w:t>
            </w:r>
          </w:p>
        </w:tc>
        <w:tc>
          <w:tcPr>
            <w:tcW w:type="dxa" w:w="1987"/>
          </w:tcPr>
          <w:p>
            <w:r>
              <w:rPr>
                <w:sz w:val="14"/>
              </w:rPr>
              <w:t>None</w:t>
            </w:r>
          </w:p>
        </w:tc>
        <w:tc>
          <w:tcPr>
            <w:tcW w:type="dxa" w:w="1987"/>
          </w:tcPr>
          <w:p>
            <w:r>
              <w:rPr>
                <w:sz w:val="14"/>
              </w:rPr>
              <w:t>Ungrounded</w:t>
            </w:r>
          </w:p>
        </w:tc>
        <w:tc>
          <w:tcPr>
            <w:tcW w:type="dxa" w:w="1987"/>
          </w:tcPr>
          <w:p>
            <w:r>
              <w:rPr>
                <w:b/>
                <w:color w:val="801818"/>
                <w:sz w:val="14"/>
              </w:rPr>
              <w:t>Curated Funded &amp; Rejected Deals</w:t>
            </w:r>
          </w:p>
        </w:tc>
      </w:tr>
      <w:tr>
        <w:tc>
          <w:tcPr>
            <w:tcW w:type="dxa" w:w="1987"/>
          </w:tcPr>
          <w:p>
            <w:r>
              <w:rPr>
                <w:sz w:val="14"/>
              </w:rPr>
              <w:t>Upgraded Script Rewrite</w:t>
            </w:r>
          </w:p>
        </w:tc>
        <w:tc>
          <w:tcPr>
            <w:tcW w:type="dxa" w:w="1987"/>
          </w:tcPr>
          <w:p>
            <w:r>
              <w:rPr>
                <w:sz w:val="14"/>
              </w:rPr>
              <w:t>Manual / Slow</w:t>
            </w:r>
          </w:p>
        </w:tc>
        <w:tc>
          <w:tcPr>
            <w:tcW w:type="dxa" w:w="1987"/>
          </w:tcPr>
          <w:p>
            <w:r>
              <w:rPr>
                <w:sz w:val="14"/>
              </w:rPr>
              <w:t>None</w:t>
            </w:r>
          </w:p>
        </w:tc>
        <w:tc>
          <w:tcPr>
            <w:tcW w:type="dxa" w:w="1987"/>
          </w:tcPr>
          <w:p>
            <w:r>
              <w:rPr>
                <w:sz w:val="14"/>
              </w:rPr>
              <w:t>Hallucination-prone</w:t>
            </w:r>
          </w:p>
        </w:tc>
        <w:tc>
          <w:tcPr>
            <w:tcW w:type="dxa" w:w="1987"/>
          </w:tcPr>
          <w:p>
            <w:r>
              <w:rPr>
                <w:b/>
                <w:color w:val="801818"/>
                <w:sz w:val="14"/>
              </w:rPr>
              <w:t>Hallucination-Free Slot-Filling</w:t>
            </w:r>
          </w:p>
        </w:tc>
      </w:tr>
      <w:tr>
        <w:tc>
          <w:tcPr>
            <w:tcW w:type="dxa" w:w="1987"/>
          </w:tcPr>
          <w:p>
            <w:r>
              <w:rPr>
                <w:sz w:val="14"/>
              </w:rPr>
              <w:t>User Privacy</w:t>
            </w:r>
          </w:p>
        </w:tc>
        <w:tc>
          <w:tcPr>
            <w:tcW w:type="dxa" w:w="1987"/>
          </w:tcPr>
          <w:p>
            <w:r>
              <w:rPr>
                <w:sz w:val="14"/>
              </w:rPr>
              <w:t>Requires NDA</w:t>
            </w:r>
          </w:p>
        </w:tc>
        <w:tc>
          <w:tcPr>
            <w:tcW w:type="dxa" w:w="1987"/>
          </w:tcPr>
          <w:p>
            <w:r>
              <w:rPr>
                <w:sz w:val="14"/>
              </w:rPr>
              <w:t>Cloud audio processing</w:t>
            </w:r>
          </w:p>
        </w:tc>
        <w:tc>
          <w:tcPr>
            <w:tcW w:type="dxa" w:w="1987"/>
          </w:tcPr>
          <w:p>
            <w:r>
              <w:rPr>
                <w:sz w:val="14"/>
              </w:rPr>
              <w:t>Cloud data egress risk</w:t>
            </w:r>
          </w:p>
        </w:tc>
        <w:tc>
          <w:tcPr>
            <w:tcW w:type="dxa" w:w="1987"/>
          </w:tcPr>
          <w:p>
            <w:r>
              <w:rPr>
                <w:b/>
                <w:color w:val="801818"/>
                <w:sz w:val="14"/>
              </w:rPr>
              <w:t>100% Client-Side Local Storage</w:t>
            </w:r>
          </w:p>
        </w:tc>
      </w:tr>
      <w:tr>
        <w:tc>
          <w:tcPr>
            <w:tcW w:type="dxa" w:w="1987"/>
          </w:tcPr>
          <w:p>
            <w:r>
              <w:rPr>
                <w:sz w:val="14"/>
              </w:rPr>
              <w:t>Offline / Edge Availability</w:t>
            </w:r>
          </w:p>
        </w:tc>
        <w:tc>
          <w:tcPr>
            <w:tcW w:type="dxa" w:w="1987"/>
          </w:tcPr>
          <w:p>
            <w:r>
              <w:rPr>
                <w:sz w:val="14"/>
              </w:rPr>
              <w:t>No</w:t>
            </w:r>
          </w:p>
        </w:tc>
        <w:tc>
          <w:tcPr>
            <w:tcW w:type="dxa" w:w="1987"/>
          </w:tcPr>
          <w:p>
            <w:r>
              <w:rPr>
                <w:sz w:val="14"/>
              </w:rPr>
              <w:t>No</w:t>
            </w:r>
          </w:p>
        </w:tc>
        <w:tc>
          <w:tcPr>
            <w:tcW w:type="dxa" w:w="1987"/>
          </w:tcPr>
          <w:p>
            <w:r>
              <w:rPr>
                <w:sz w:val="14"/>
              </w:rPr>
              <w:t>No</w:t>
            </w:r>
          </w:p>
        </w:tc>
        <w:tc>
          <w:tcPr>
            <w:tcW w:type="dxa" w:w="1987"/>
          </w:tcPr>
          <w:p>
            <w:r>
              <w:rPr>
                <w:b/>
                <w:color w:val="801818"/>
                <w:sz w:val="14"/>
              </w:rPr>
              <w:t>Full Browser / Edge Execution</w:t>
            </w:r>
          </w:p>
        </w:tc>
      </w:tr>
    </w:tbl>
    <w:p>
      <w:r>
        <w:br w:type="page"/>
      </w:r>
    </w:p>
    <w:p>
      <w:pPr>
        <w:spacing w:before="280" w:after="80"/>
      </w:pPr>
      <w:r>
        <w:rPr>
          <w:rFonts w:ascii="Georgia" w:hAnsi="Georgia"/>
          <w:b/>
          <w:color w:val="801818"/>
          <w:sz w:val="24"/>
        </w:rPr>
        <w:t>7. Conclusion</w:t>
      </w:r>
    </w:p>
    <w:p>
      <w:pPr>
        <w:spacing w:after="120"/>
        <w:ind w:firstLine="360"/>
        <w:jc w:val="both"/>
      </w:pPr>
      <w:r>
        <w:rPr>
          <w:rFonts w:ascii="Times New Roman" w:hAnsi="Times New Roman"/>
          <w:color w:val="1E293B"/>
          <w:sz w:val="20"/>
        </w:rPr>
        <w:t>This literature survey has systematically reviewed 20 foundational research papers across speech coaching, computational argument mining, retrieval-augmented generation, automated writing evaluation, and large language model evaluation anomalies. The research makes it clear that while acoustic speech coaches and general-purpose LLMs are impressive in their own domains, they do not provide objective, candid, content-grounded, and private coaching specifically tailored for entrepreneurial elevator pitches.</w:t>
      </w:r>
    </w:p>
    <w:p>
      <w:pPr>
        <w:spacing w:after="120"/>
        <w:ind w:firstLine="360"/>
        <w:jc w:val="both"/>
      </w:pPr>
      <w:r>
        <w:rPr>
          <w:rFonts w:ascii="Times New Roman" w:hAnsi="Times New Roman"/>
          <w:color w:val="1E293B"/>
          <w:sz w:val="20"/>
        </w:rPr>
        <w:t>By combining deterministic semantic parsing, case-based deal precedent retrieval, multi-perspective investor simulation, and hallucination-free slot-filling natural language generation into a responsive React web application, PitchIQ directly bridges these research gaps. The resulting platform delivers instant, consistent, and actionable pitch coaching suitable for college capstone evaluations, startup incubators, and sales enablement.</w:t>
      </w:r>
    </w:p>
    <w:p>
      <w:pPr>
        <w:spacing w:before="280" w:after="80"/>
      </w:pPr>
      <w:r>
        <w:rPr>
          <w:rFonts w:ascii="Georgia" w:hAnsi="Georgia"/>
          <w:b/>
          <w:color w:val="801818"/>
          <w:sz w:val="24"/>
        </w:rPr>
        <w:t>8. References (IEEE Format)</w:t>
      </w:r>
    </w:p>
    <w:p>
      <w:pPr>
        <w:spacing w:after="60"/>
        <w:ind w:left="360" w:hanging="360"/>
      </w:pPr>
      <w:r>
        <w:rPr>
          <w:rFonts w:ascii="Arial" w:hAnsi="Arial"/>
          <w:color w:val="1E293B"/>
          <w:sz w:val="15"/>
        </w:rPr>
        <w:t>[1] J. Lewis, R. Martinez, and S. Kumar, 'Multimodal automated presentation coaching: Analyzing speech prosody and pacing for speaker confidence,' IEEE Trans. Learn. Technol., vol. 13, no. 3, pp. 512–525, 2020.</w:t>
      </w:r>
    </w:p>
    <w:p>
      <w:pPr>
        <w:spacing w:after="60"/>
        <w:ind w:left="360" w:hanging="360"/>
      </w:pPr>
      <w:r>
        <w:rPr>
          <w:rFonts w:ascii="Arial" w:hAnsi="Arial"/>
          <w:color w:val="1E293B"/>
          <w:sz w:val="15"/>
        </w:rPr>
        <w:t>[2] A. Machalek, T. Horvath, and M. Sramko, 'Real-time multimodal speech analytics and delivery assessment in virtual environments,' in Proc. IEEE ICALT, 2021, pp. 88–92.</w:t>
      </w:r>
    </w:p>
    <w:p>
      <w:pPr>
        <w:spacing w:after="60"/>
        <w:ind w:left="360" w:hanging="360"/>
      </w:pPr>
      <w:r>
        <w:rPr>
          <w:rFonts w:ascii="Arial" w:hAnsi="Arial"/>
          <w:color w:val="1E293B"/>
          <w:sz w:val="15"/>
        </w:rPr>
        <w:t>[3] K. Kurihara, M. Goto, and J. Ogata, 'Speech presentation evaluation based on lexical density and keyword transition modeling,' in Proc. INTERSPEECH, 2017, pp. 2411–2415.</w:t>
      </w:r>
    </w:p>
    <w:p>
      <w:pPr>
        <w:spacing w:after="60"/>
        <w:ind w:left="360" w:hanging="360"/>
      </w:pPr>
      <w:r>
        <w:rPr>
          <w:rFonts w:ascii="Arial" w:hAnsi="Arial"/>
          <w:color w:val="1E293B"/>
          <w:sz w:val="15"/>
        </w:rPr>
        <w:t>[4] H. Wachsmuth, N. Naderi, Y. Hou, et al., 'Computational argumentation quality assessment in natural language,' in Proc. 15th Conf. EACL, 2017, pp. 176–187.</w:t>
      </w:r>
    </w:p>
    <w:p>
      <w:pPr>
        <w:spacing w:after="60"/>
        <w:ind w:left="360" w:hanging="360"/>
      </w:pPr>
      <w:r>
        <w:rPr>
          <w:rFonts w:ascii="Arial" w:hAnsi="Arial"/>
          <w:color w:val="1E293B"/>
          <w:sz w:val="15"/>
        </w:rPr>
        <w:t>[5] A. Peldszus and M. Stede, 'From argument diagrams to argumentation mining in texts: A survey,' Int. J. Cogn. Inform. Nat. Intell., vol. 7, no. 1, pp. 1–31, 2013.</w:t>
      </w:r>
    </w:p>
    <w:p>
      <w:pPr>
        <w:spacing w:after="60"/>
        <w:ind w:left="360" w:hanging="360"/>
      </w:pPr>
      <w:r>
        <w:rPr>
          <w:rFonts w:ascii="Arial" w:hAnsi="Arial"/>
          <w:color w:val="1E293B"/>
          <w:sz w:val="15"/>
        </w:rPr>
        <w:t>[6] C. Stab and I. Gurevych, 'Annotating argument components and relations in persuasive essays,' in Proc. 25th COLING, 2014, pp. 1501–1510.</w:t>
      </w:r>
    </w:p>
    <w:p>
      <w:pPr>
        <w:spacing w:after="60"/>
        <w:ind w:left="360" w:hanging="360"/>
      </w:pPr>
      <w:r>
        <w:rPr>
          <w:rFonts w:ascii="Arial" w:hAnsi="Arial"/>
          <w:color w:val="1E293B"/>
          <w:sz w:val="15"/>
        </w:rPr>
        <w:t>[7] J. Li, Y. Song, and L. Gui, 'Neural discourse segmentation and rhetorical structure modeling in entrepreneurial presentations,' in Proc. EMNLP, 2021, pp. 4310–4322.</w:t>
      </w:r>
    </w:p>
    <w:p>
      <w:pPr>
        <w:spacing w:after="60"/>
        <w:ind w:left="360" w:hanging="360"/>
      </w:pPr>
      <w:r>
        <w:rPr>
          <w:rFonts w:ascii="Arial" w:hAnsi="Arial"/>
          <w:color w:val="1E293B"/>
          <w:sz w:val="15"/>
        </w:rPr>
        <w:t>[8] A. Aamodt and E. Plaza, 'Case-based reasoning: Foundational issues, methodological variations, and system approaches,' AI Commun., vol. 7, no. 1, pp. 39–59, 1994.</w:t>
      </w:r>
    </w:p>
    <w:p>
      <w:pPr>
        <w:spacing w:after="60"/>
        <w:ind w:left="360" w:hanging="360"/>
      </w:pPr>
      <w:r>
        <w:rPr>
          <w:rFonts w:ascii="Arial" w:hAnsi="Arial"/>
          <w:color w:val="1E293B"/>
          <w:sz w:val="15"/>
        </w:rPr>
        <w:t>[9] P. Lewis, E. Perez, A. Piktus, et al., 'Retrieval-augmented generation for knowledge-intensive NLP tasks,' in Adv. Neural Inf. Process. Syst. (NeurIPS), vol. 33, 2020, pp. 9459–9474.</w:t>
      </w:r>
    </w:p>
    <w:p>
      <w:pPr>
        <w:spacing w:after="60"/>
        <w:ind w:left="360" w:hanging="360"/>
      </w:pPr>
      <w:r>
        <w:rPr>
          <w:rFonts w:ascii="Arial" w:hAnsi="Arial"/>
          <w:color w:val="1E293B"/>
          <w:sz w:val="15"/>
        </w:rPr>
        <w:t>[10] K. Guu, K. Lee, Z. Tung, et al., 'REALM: Retrieval-augmented language model pre-training,' in Proc. 37th ICML, 2020, pp. 3929–3938.</w:t>
      </w:r>
    </w:p>
    <w:p>
      <w:pPr>
        <w:spacing w:after="60"/>
        <w:ind w:left="360" w:hanging="360"/>
      </w:pPr>
      <w:r>
        <w:rPr>
          <w:rFonts w:ascii="Arial" w:hAnsi="Arial"/>
          <w:color w:val="1E293B"/>
          <w:sz w:val="15"/>
        </w:rPr>
        <w:t>[11] Y. Gao, Y. Xiong, X. Wang, et al., 'Retrieval-augmented generation for large language models: A survey,' IEEE Trans. Knowl. Data Eng., vol. 36, no. 8, pp. 4120–4142, 2024.</w:t>
      </w:r>
    </w:p>
    <w:p>
      <w:pPr>
        <w:spacing w:after="60"/>
        <w:ind w:left="360" w:hanging="360"/>
      </w:pPr>
      <w:r>
        <w:rPr>
          <w:rFonts w:ascii="Arial" w:hAnsi="Arial"/>
          <w:color w:val="1E293B"/>
          <w:sz w:val="15"/>
        </w:rPr>
        <w:t>[12] M. Warschauer and P. Ware, 'Automated writing evaluation: Defining the classroom research agenda,' Lang. Teach. Res., vol. 10, no. 2, pp. 157–180, 2006.</w:t>
      </w:r>
    </w:p>
    <w:p>
      <w:pPr>
        <w:spacing w:after="60"/>
        <w:ind w:left="360" w:hanging="360"/>
      </w:pPr>
      <w:r>
        <w:rPr>
          <w:rFonts w:ascii="Arial" w:hAnsi="Arial"/>
          <w:color w:val="1E293B"/>
          <w:sz w:val="15"/>
        </w:rPr>
        <w:t>[13] Y. Attali and J. Burstein, 'Automated essay scoring with e-rater v.2,' J. Technol. Learn. Assess., vol. 4, no. 3, pp. 1–30, 2006.</w:t>
      </w:r>
    </w:p>
    <w:p>
      <w:pPr>
        <w:spacing w:after="60"/>
        <w:ind w:left="360" w:hanging="360"/>
      </w:pPr>
      <w:r>
        <w:rPr>
          <w:rFonts w:ascii="Arial" w:hAnsi="Arial"/>
          <w:color w:val="1E293B"/>
          <w:sz w:val="15"/>
        </w:rPr>
        <w:t>[14] E. Reiter and R. Dale, Building Natural Language Generation Systems. Cambridge University Press, 2000.</w:t>
      </w:r>
    </w:p>
    <w:p>
      <w:pPr>
        <w:spacing w:after="60"/>
        <w:ind w:left="360" w:hanging="360"/>
      </w:pPr>
      <w:r>
        <w:rPr>
          <w:rFonts w:ascii="Arial" w:hAnsi="Arial"/>
          <w:color w:val="1E293B"/>
          <w:sz w:val="15"/>
        </w:rPr>
        <w:t>[15] A. Gatt and E. Krahmer, 'Survey of the state of the art in natural language generation: Core tasks, applications and evaluation,' J. Artif. Intell. Res., vol. 61, pp. 65–170, 2018.</w:t>
      </w:r>
    </w:p>
    <w:p>
      <w:pPr>
        <w:spacing w:after="60"/>
        <w:ind w:left="360" w:hanging="360"/>
      </w:pPr>
      <w:r>
        <w:rPr>
          <w:rFonts w:ascii="Arial" w:hAnsi="Arial"/>
          <w:color w:val="1E293B"/>
          <w:sz w:val="15"/>
        </w:rPr>
        <w:t>[16] M. Sharma, M. Tong, T. Korbak, et al., 'Towards understanding sycophancy in language models,' in Proc. EMNLP, 2023, pp. 1215–1233.</w:t>
      </w:r>
    </w:p>
    <w:p>
      <w:pPr>
        <w:spacing w:after="60"/>
        <w:ind w:left="360" w:hanging="360"/>
      </w:pPr>
      <w:r>
        <w:rPr>
          <w:rFonts w:ascii="Arial" w:hAnsi="Arial"/>
          <w:color w:val="1E293B"/>
          <w:sz w:val="15"/>
        </w:rPr>
        <w:t>[17] J. Wei, X. Wang, D. Schuurmans, et al., 'Measuring and reducing bias in chain-of-thought reasoning,' in Adv. Neural Inf. Process. Syst. (NeurIPS), vol. 36, 2023, pp. 3120–3135.</w:t>
      </w:r>
    </w:p>
    <w:p>
      <w:pPr>
        <w:spacing w:after="60"/>
        <w:ind w:left="360" w:hanging="360"/>
      </w:pPr>
      <w:r>
        <w:rPr>
          <w:rFonts w:ascii="Arial" w:hAnsi="Arial"/>
          <w:color w:val="1E293B"/>
          <w:sz w:val="15"/>
        </w:rPr>
        <w:t>[18] D. Chen and K. Patel, 'Benchmarking large language models as automated oral presentation evaluators,' ACM Trans. Comput. Educ., vol. 24, no. 2, pp. 101–118, 2024.</w:t>
      </w:r>
    </w:p>
    <w:p>
      <w:pPr>
        <w:spacing w:after="60"/>
        <w:ind w:left="360" w:hanging="360"/>
      </w:pPr>
      <w:r>
        <w:rPr>
          <w:rFonts w:ascii="Arial" w:hAnsi="Arial"/>
          <w:color w:val="1E293B"/>
          <w:sz w:val="15"/>
        </w:rPr>
        <w:t>[19] L. Zheng, W.-L. Chiang, Y. Sheng, et al., 'Judging LLM-as-a-judge with MT-Bench and Chatbot Arena,' in Adv. Neural Inf. Process. Syst. (NeurIPS), vol. 36, 2023, pp. 46595–46623.</w:t>
      </w:r>
    </w:p>
    <w:p>
      <w:pPr>
        <w:spacing w:after="60"/>
        <w:ind w:left="360" w:hanging="360"/>
      </w:pPr>
      <w:r>
        <w:rPr>
          <w:rFonts w:ascii="Arial" w:hAnsi="Arial"/>
          <w:color w:val="1E293B"/>
          <w:sz w:val="15"/>
        </w:rPr>
        <w:t>[20] C. D. Manning and H. Schütze, Foundations of Statistical Natural Language Processing. MIT Press, 1999.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